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12"/>
        <w:ind w:firstLine="48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G663木里县桃巴至瓦厂段改建工程环境影响评价技术支撑服务单位</w:t>
      </w:r>
    </w:p>
    <w:p w14:paraId="3EF5B90F">
      <w:pPr>
        <w:pStyle w:val="12"/>
        <w:ind w:firstLine="480"/>
        <w:rPr>
          <w:rFonts w:hint="eastAsia" w:ascii="仿宋" w:hAnsi="仿宋" w:eastAsia="仿宋" w:cs="仿宋"/>
          <w:color w:val="000000"/>
          <w:sz w:val="44"/>
          <w:szCs w:val="44"/>
          <w:highlight w:val="none"/>
        </w:rPr>
      </w:pPr>
    </w:p>
    <w:p w14:paraId="1A6087D2">
      <w:pPr>
        <w:pStyle w:val="12"/>
        <w:ind w:firstLine="480"/>
        <w:rPr>
          <w:rFonts w:hint="eastAsia" w:ascii="仿宋" w:hAnsi="仿宋" w:eastAsia="仿宋" w:cs="仿宋"/>
          <w:color w:val="000000"/>
          <w:sz w:val="44"/>
          <w:szCs w:val="44"/>
          <w:highlight w:val="none"/>
        </w:rPr>
      </w:pPr>
    </w:p>
    <w:p w14:paraId="6A201CAA">
      <w:pPr>
        <w:pStyle w:val="12"/>
        <w:ind w:firstLine="480"/>
        <w:rPr>
          <w:rFonts w:hint="eastAsia" w:ascii="仿宋" w:hAnsi="仿宋" w:eastAsia="仿宋" w:cs="仿宋"/>
          <w:color w:val="000000"/>
          <w:sz w:val="44"/>
          <w:szCs w:val="44"/>
          <w:highlight w:val="none"/>
        </w:rPr>
      </w:pPr>
    </w:p>
    <w:p w14:paraId="4AEF38E9">
      <w:pPr>
        <w:pStyle w:val="12"/>
        <w:ind w:firstLine="480"/>
        <w:rPr>
          <w:rFonts w:hint="eastAsia" w:ascii="仿宋" w:hAnsi="仿宋" w:eastAsia="仿宋" w:cs="仿宋"/>
          <w:color w:val="000000"/>
          <w:sz w:val="44"/>
          <w:szCs w:val="44"/>
          <w:highlight w:val="none"/>
        </w:rPr>
      </w:pPr>
    </w:p>
    <w:p w14:paraId="37ACBB72">
      <w:pPr>
        <w:pStyle w:val="12"/>
        <w:ind w:firstLine="480"/>
        <w:rPr>
          <w:rFonts w:hint="eastAsia" w:ascii="仿宋" w:hAnsi="仿宋" w:eastAsia="仿宋" w:cs="仿宋"/>
          <w:color w:val="000000"/>
          <w:sz w:val="44"/>
          <w:szCs w:val="44"/>
          <w:highlight w:val="none"/>
        </w:rPr>
      </w:pPr>
    </w:p>
    <w:p w14:paraId="4D1C2B8E">
      <w:pPr>
        <w:pStyle w:val="12"/>
        <w:ind w:firstLine="480"/>
        <w:rPr>
          <w:rFonts w:hint="eastAsia" w:ascii="仿宋" w:hAnsi="仿宋" w:eastAsia="仿宋" w:cs="仿宋"/>
          <w:color w:val="000000"/>
          <w:sz w:val="44"/>
          <w:szCs w:val="44"/>
          <w:highlight w:val="none"/>
        </w:rPr>
      </w:pPr>
    </w:p>
    <w:p w14:paraId="0881F74B">
      <w:pPr>
        <w:pStyle w:val="1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2"/>
        <w:rPr>
          <w:rFonts w:hint="eastAsia" w:ascii="仿宋" w:hAnsi="仿宋" w:eastAsia="仿宋" w:cs="仿宋"/>
          <w:color w:val="000000"/>
          <w:sz w:val="44"/>
          <w:szCs w:val="44"/>
          <w:highlight w:val="none"/>
        </w:rPr>
      </w:pPr>
    </w:p>
    <w:p w14:paraId="4FC013F1">
      <w:pPr>
        <w:pStyle w:val="10"/>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40D781DC">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6</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4</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9"/>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3"/>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157235899"/>
      <w:bookmarkStart w:id="1" w:name="_Toc170621332"/>
      <w:bookmarkStart w:id="2" w:name="_Toc170621200"/>
      <w:bookmarkStart w:id="3" w:name="_Toc187120136"/>
      <w:bookmarkStart w:id="4" w:name="_Toc319145201"/>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2"/>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凉山交投工程规划设计管理有限公司根据建设需要，对G663木里县桃巴至瓦厂段改建工程环境影响评价技术支撑服务单位通过公开比选方式确定第三方服务机构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凉山彝族治州木里县境内</w:t>
      </w:r>
      <w:r>
        <w:rPr>
          <w:rFonts w:hint="eastAsia" w:ascii="仿宋" w:hAnsi="仿宋" w:eastAsia="仿宋" w:cs="仿宋"/>
          <w:color w:val="000000"/>
          <w:spacing w:val="-4"/>
          <w:highlight w:val="none"/>
          <w:lang w:val="en-US" w:eastAsia="zh-CN"/>
        </w:rPr>
        <w:t>。</w:t>
      </w:r>
    </w:p>
    <w:p w14:paraId="015318F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44" w:firstLineChars="200"/>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本项目路线起于木里县G227桃巴村豹子坪加油站，向南经桃巴村、木里大寺至瓦厂镇，止于瓦厂镇附近，路线全长约8.15公里，其中改建4.875公里/11段、原路扩建3.275公里/10段。采用三级公路标准进行建设，双向两车道，路基宽度7.5m，设计速度30km/h，设计荷载等级为公路-II级。全线占地295.680亩，设大桥91米/2 座，桥隧比为1.12%。</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环境影响评价报告编制工作。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3个月内完成项目的环境影响评价报告的送审稿，5个月内取得相应审批部门出具的批复文件。</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default"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年1月1日至今）</w:t>
      </w:r>
      <w:r>
        <w:rPr>
          <w:rFonts w:hint="eastAsia" w:ascii="仿宋" w:hAnsi="仿宋" w:eastAsia="仿宋" w:cs="仿宋"/>
          <w:bCs/>
          <w:sz w:val="28"/>
          <w:szCs w:val="28"/>
          <w:lang w:val="zh-CN"/>
        </w:rPr>
        <w:t>，至少</w:t>
      </w:r>
      <w:r>
        <w:rPr>
          <w:rFonts w:hint="eastAsia" w:ascii="仿宋" w:hAnsi="仿宋" w:eastAsia="仿宋" w:cs="仿宋"/>
          <w:bCs/>
          <w:sz w:val="28"/>
          <w:szCs w:val="28"/>
          <w:lang w:val="en-US" w:eastAsia="zh-CN"/>
        </w:rPr>
        <w:t>完成过</w:t>
      </w:r>
      <w:r>
        <w:rPr>
          <w:rFonts w:hint="default" w:ascii="仿宋" w:hAnsi="仿宋" w:eastAsia="仿宋" w:cs="仿宋"/>
          <w:bCs/>
          <w:sz w:val="28"/>
          <w:szCs w:val="28"/>
          <w:lang w:val="en-US"/>
        </w:rPr>
        <w:t>1个</w:t>
      </w:r>
      <w:r>
        <w:rPr>
          <w:rFonts w:hint="default" w:ascii="仿宋" w:hAnsi="仿宋" w:eastAsia="仿宋" w:cs="仿宋"/>
          <w:bCs/>
          <w:sz w:val="28"/>
          <w:szCs w:val="28"/>
          <w:lang w:val="en-US" w:eastAsia="zh-CN"/>
        </w:rPr>
        <w:t>道路工程（含城市快速通道、三级以上公路、高速公路等）环境影响评价报告编制（含报告表或报告书）业绩</w:t>
      </w:r>
      <w:r>
        <w:rPr>
          <w:rFonts w:hint="default" w:ascii="仿宋" w:hAnsi="仿宋" w:eastAsia="仿宋" w:cs="仿宋"/>
          <w:bCs/>
          <w:sz w:val="28"/>
          <w:szCs w:val="28"/>
          <w:lang w:val="en-US"/>
        </w:rPr>
        <w:t>。</w:t>
      </w:r>
    </w:p>
    <w:p w14:paraId="593FD60A">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5ED49E91">
      <w:pPr>
        <w:keepNext w:val="0"/>
        <w:keepLines w:val="0"/>
        <w:pageBreakBefore w:val="0"/>
        <w:kinsoku/>
        <w:wordWrap/>
        <w:overflowPunct/>
        <w:topLinePunct w:val="0"/>
        <w:autoSpaceDE/>
        <w:autoSpaceDN/>
        <w:bidi w:val="0"/>
        <w:adjustRightInd/>
        <w:snapToGrid/>
        <w:spacing w:beforeLines="0" w:after="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000000"/>
          <w:sz w:val="28"/>
          <w:szCs w:val="24"/>
          <w:lang w:val="en-US" w:eastAsia="zh-CN" w:bidi="ar"/>
        </w:rPr>
        <w:t>项目负责人：具备环境影响评价工程师资格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kinsoku/>
        <w:wordWrap/>
        <w:overflowPunct/>
        <w:topLinePunct w:val="0"/>
        <w:autoSpaceDE/>
        <w:autoSpaceDN/>
        <w:bidi w:val="0"/>
        <w:adjustRightInd/>
        <w:snapToGrid/>
        <w:spacing w:beforeLines="0" w:after="0" w:afterLines="0" w:line="500" w:lineRule="exact"/>
        <w:ind w:firstLine="482" w:firstLineChars="200"/>
        <w:textAlignment w:val="auto"/>
        <w:rPr>
          <w:rFonts w:hint="eastAsia"/>
          <w:b/>
          <w:color w:val="000000"/>
          <w:sz w:val="28"/>
          <w:szCs w:val="24"/>
          <w:lang w:val="en-US" w:eastAsia="zh-CN"/>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0CECE7F">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6D2026F1">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（需提供书面承诺，格式自拟）。</w:t>
      </w:r>
    </w:p>
    <w:p w14:paraId="3E444A9B">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787CE2E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7C4E3EC0">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0F51EA5D">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133FEEB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0"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州交通城市建设投资集团有限责任公司网站（网址http://www.lsjtjt.cn/index.html）公示期限：3日。</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0"/>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4 </w:t>
      </w:r>
      <w:r>
        <w:rPr>
          <w:rFonts w:hint="eastAsia" w:ascii="仿宋" w:hAnsi="仿宋" w:eastAsia="仿宋" w:cs="仿宋"/>
          <w:color w:val="000000"/>
          <w:szCs w:val="28"/>
          <w:highlight w:val="none"/>
        </w:rPr>
        <w:t>月</w:t>
      </w:r>
      <w:r>
        <w:rPr>
          <w:rFonts w:hint="eastAsia" w:ascii="仿宋" w:hAnsi="仿宋" w:eastAsia="仿宋" w:cs="仿宋"/>
          <w:color w:val="auto"/>
          <w:szCs w:val="28"/>
          <w:highlight w:val="none"/>
          <w:u w:val="single"/>
          <w:lang w:val="en-US" w:eastAsia="zh-CN"/>
        </w:rPr>
        <w:t xml:space="preserve">  29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10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三</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FABEA1D">
      <w:pPr>
        <w:pStyle w:val="2"/>
        <w:rPr>
          <w:rFonts w:hint="eastAsia" w:ascii="仿宋" w:hAnsi="仿宋" w:eastAsia="仿宋" w:cs="仿宋"/>
          <w:color w:val="000000"/>
          <w:szCs w:val="28"/>
          <w:highlight w:val="none"/>
          <w:lang w:val="en-US" w:eastAsia="zh-CN"/>
        </w:rPr>
      </w:pPr>
    </w:p>
    <w:p w14:paraId="143615AC">
      <w:pPr>
        <w:rPr>
          <w:rFonts w:hint="eastAsia" w:ascii="仿宋" w:hAnsi="仿宋" w:eastAsia="仿宋" w:cs="仿宋"/>
          <w:color w:val="000000"/>
          <w:szCs w:val="28"/>
          <w:highlight w:val="none"/>
          <w:lang w:val="en-US" w:eastAsia="zh-CN"/>
        </w:rPr>
      </w:pPr>
    </w:p>
    <w:p w14:paraId="09CA3507">
      <w:pPr>
        <w:pStyle w:val="2"/>
        <w:rPr>
          <w:rFonts w:hint="eastAsia" w:ascii="仿宋" w:hAnsi="仿宋" w:eastAsia="仿宋" w:cs="仿宋"/>
          <w:color w:val="000000"/>
          <w:szCs w:val="28"/>
          <w:highlight w:val="none"/>
          <w:lang w:val="en-US" w:eastAsia="zh-CN"/>
        </w:rPr>
      </w:pPr>
    </w:p>
    <w:p w14:paraId="17FD59F1">
      <w:pPr>
        <w:rPr>
          <w:rFonts w:hint="eastAsia" w:ascii="仿宋" w:hAnsi="仿宋" w:eastAsia="仿宋" w:cs="仿宋"/>
          <w:color w:val="000000"/>
          <w:szCs w:val="28"/>
          <w:highlight w:val="none"/>
          <w:lang w:val="en-US" w:eastAsia="zh-CN"/>
        </w:rPr>
      </w:pPr>
    </w:p>
    <w:p w14:paraId="4607C5BC">
      <w:pPr>
        <w:pStyle w:val="2"/>
        <w:jc w:val="right"/>
        <w:rPr>
          <w:rFonts w:hint="default"/>
          <w:lang w:val="en-US"/>
        </w:rPr>
      </w:pPr>
      <w:r>
        <w:rPr>
          <w:rFonts w:hint="eastAsia" w:ascii="仿宋" w:hAnsi="仿宋" w:eastAsia="仿宋" w:cs="仿宋"/>
          <w:color w:val="000000"/>
          <w:szCs w:val="28"/>
          <w:highlight w:val="none"/>
          <w:lang w:val="en-US" w:eastAsia="zh-CN"/>
        </w:rPr>
        <w:t>2026年4月 23 日</w:t>
      </w:r>
    </w:p>
    <w:p w14:paraId="01F56359">
      <w:pPr>
        <w:pStyle w:val="3"/>
        <w:pageBreakBefore/>
        <w:spacing w:before="0" w:after="0" w:line="480" w:lineRule="auto"/>
        <w:jc w:val="center"/>
        <w:rPr>
          <w:rFonts w:hint="eastAsia" w:ascii="黑体" w:hAnsi="黑体" w:eastAsia="黑体" w:cs="Arial"/>
          <w:b/>
          <w:bCs/>
          <w:color w:val="000000"/>
          <w:sz w:val="36"/>
          <w:szCs w:val="36"/>
          <w:highlight w:val="none"/>
        </w:rPr>
      </w:pPr>
      <w:bookmarkStart w:id="11"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1"/>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2" w:name="_Toc170621201"/>
      <w:bookmarkStart w:id="13" w:name="_Toc157235900"/>
      <w:bookmarkStart w:id="14" w:name="_Toc170621333"/>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收集相关资料，对项目进行实地踏勘，完成环境影响评价报告编制，完成项目的环境影响评价报告送审报批工作。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5" w:name="_Toc187120139"/>
      <w:bookmarkStart w:id="16" w:name="_Toc319145203"/>
      <w:r>
        <w:rPr>
          <w:rFonts w:hint="eastAsia" w:ascii="仿宋" w:hAnsi="仿宋" w:eastAsia="仿宋" w:cs="仿宋"/>
          <w:b/>
          <w:bCs/>
          <w:color w:val="000000"/>
          <w:kern w:val="44"/>
          <w:sz w:val="28"/>
          <w:szCs w:val="28"/>
          <w:highlight w:val="none"/>
          <w:lang w:val="en-US" w:eastAsia="zh-CN" w:bidi="ar-SA"/>
        </w:rPr>
        <w:t>五、比选申请人资格要求</w:t>
      </w:r>
      <w:bookmarkEnd w:id="15"/>
      <w:bookmarkEnd w:id="16"/>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7" w:name="_Toc319145206"/>
    </w:p>
    <w:p w14:paraId="2449B9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7"/>
    </w:p>
    <w:p w14:paraId="2E9CB33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000000"/>
          <w:szCs w:val="28"/>
          <w:highlight w:val="none"/>
          <w:lang w:eastAsia="zh-CN"/>
        </w:rPr>
      </w:pPr>
      <w:bookmarkStart w:id="18" w:name="OLE_LINK5"/>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.1最高限价为：人民币（大写）</w:t>
      </w:r>
      <w:r>
        <w:rPr>
          <w:rFonts w:hint="eastAsia" w:ascii="仿宋" w:hAnsi="仿宋" w:eastAsia="仿宋" w:cs="仿宋"/>
          <w:color w:val="000000"/>
          <w:szCs w:val="28"/>
          <w:highlight w:val="none"/>
          <w:u w:val="single"/>
          <w:lang w:val="en-US" w:eastAsia="zh-CN"/>
        </w:rPr>
        <w:t xml:space="preserve"> 壹拾贰万元整 </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highlight w:val="none"/>
          <w:u w:val="single"/>
          <w:lang w:val="en-US" w:eastAsia="zh-CN"/>
        </w:rPr>
        <w:t xml:space="preserve"> 12</w:t>
      </w:r>
      <w:bookmarkStart w:id="68" w:name="_GoBack"/>
      <w:bookmarkEnd w:id="68"/>
      <w:r>
        <w:rPr>
          <w:rFonts w:hint="eastAsia" w:ascii="仿宋" w:hAnsi="仿宋" w:eastAsia="仿宋" w:cs="仿宋"/>
          <w:color w:val="000000"/>
          <w:szCs w:val="28"/>
          <w:highlight w:val="none"/>
          <w:u w:val="single"/>
          <w:lang w:val="en-US" w:eastAsia="zh-CN"/>
        </w:rPr>
        <w:t>0000.00</w:t>
      </w:r>
      <w:r>
        <w:rPr>
          <w:rFonts w:hint="eastAsia"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eastAsia="zh-CN"/>
        </w:rPr>
        <w:t>）。</w:t>
      </w:r>
    </w:p>
    <w:bookmarkEnd w:id="18"/>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建设规模为《可行性研究报告》、《初步设计》或者《施工图设计》等规模，实际实施过程中路线走向、路线长度、项目投资等会有所变化。比选人不因此增加费用，比选申请人应自行评估后进行报价。</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8.5 比选保证金：无</w:t>
      </w:r>
    </w:p>
    <w:p w14:paraId="668AF1C1">
      <w:pPr>
        <w:pStyle w:val="5"/>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19"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19"/>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20" w:name="_Toc157235904"/>
      <w:bookmarkStart w:id="21" w:name="_Toc187120143"/>
      <w:bookmarkStart w:id="22" w:name="_Toc319145207"/>
      <w:bookmarkStart w:id="23" w:name="_Toc170621205"/>
      <w:bookmarkStart w:id="24" w:name="_Toc170621337"/>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20"/>
      <w:bookmarkEnd w:id="21"/>
      <w:bookmarkEnd w:id="22"/>
      <w:bookmarkEnd w:id="23"/>
      <w:bookmarkEnd w:id="24"/>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b/>
          <w:bCs/>
          <w:color w:val="000000"/>
          <w:szCs w:val="28"/>
          <w:highlight w:val="none"/>
          <w:lang w:val="en-US" w:eastAsia="zh-CN"/>
        </w:rPr>
        <w:t>正本一份、</w:t>
      </w:r>
      <w:r>
        <w:rPr>
          <w:rFonts w:hint="eastAsia" w:ascii="仿宋" w:hAnsi="仿宋" w:eastAsia="仿宋" w:cs="仿宋"/>
          <w:b/>
          <w:bCs/>
          <w:color w:val="000000"/>
          <w:szCs w:val="28"/>
          <w:highlight w:val="none"/>
        </w:rPr>
        <w:t>副本一份</w:t>
      </w:r>
      <w:r>
        <w:rPr>
          <w:rFonts w:hint="eastAsia" w:ascii="仿宋" w:hAnsi="仿宋" w:eastAsia="仿宋" w:cs="仿宋"/>
          <w:color w:val="000000"/>
          <w:szCs w:val="28"/>
          <w:highlight w:val="none"/>
        </w:rPr>
        <w:t>，应在封面注明“正本”或“副本”字样，当正副本不一致时以正本为准；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2"/>
    <w:bookmarkEnd w:id="13"/>
    <w:bookmarkEnd w:id="14"/>
    <w:p w14:paraId="2BD40E0C">
      <w:pPr>
        <w:pStyle w:val="3"/>
        <w:keepNext w:val="0"/>
        <w:pageBreakBefore/>
        <w:spacing w:before="0" w:after="0" w:line="480" w:lineRule="auto"/>
        <w:jc w:val="center"/>
        <w:rPr>
          <w:rFonts w:hint="eastAsia" w:ascii="黑体" w:hAnsi="黑体" w:eastAsia="黑体" w:cs="Arial"/>
          <w:b/>
          <w:bCs/>
          <w:color w:val="000000"/>
          <w:sz w:val="36"/>
          <w:szCs w:val="36"/>
          <w:highlight w:val="none"/>
        </w:rPr>
      </w:pPr>
      <w:bookmarkStart w:id="25" w:name="_Toc157235656"/>
      <w:bookmarkStart w:id="26" w:name="_Toc157235929"/>
      <w:bookmarkStart w:id="27" w:name="_Toc170621363"/>
      <w:bookmarkStart w:id="28" w:name="_Toc319145237"/>
      <w:bookmarkStart w:id="29" w:name="__x000F_第四章  评标方法"/>
      <w:bookmarkStart w:id="30" w:name="_Toc157235910"/>
      <w:bookmarkStart w:id="31" w:name="_Toc170621212"/>
      <w:bookmarkStart w:id="32" w:name="_Toc170621344"/>
      <w:bookmarkStart w:id="33" w:name="_Toc319145209"/>
      <w:bookmarkStart w:id="34" w:name="_第五章 合同条款"/>
      <w:r>
        <w:rPr>
          <w:rFonts w:hint="eastAsia" w:ascii="黑体" w:hAnsi="黑体" w:eastAsia="黑体" w:cs="Arial"/>
          <w:b/>
          <w:bCs/>
          <w:color w:val="000000"/>
          <w:sz w:val="36"/>
          <w:szCs w:val="36"/>
          <w:highlight w:val="none"/>
        </w:rPr>
        <w:t xml:space="preserve">第三章 </w:t>
      </w:r>
      <w:bookmarkEnd w:id="25"/>
      <w:bookmarkEnd w:id="26"/>
      <w:bookmarkEnd w:id="27"/>
      <w:r>
        <w:rPr>
          <w:rFonts w:hint="eastAsia" w:ascii="黑体" w:hAnsi="黑体" w:eastAsia="黑体" w:cs="Arial"/>
          <w:b/>
          <w:bCs/>
          <w:color w:val="000000"/>
          <w:sz w:val="36"/>
          <w:szCs w:val="36"/>
          <w:highlight w:val="none"/>
        </w:rPr>
        <w:t>评</w:t>
      </w:r>
      <w:bookmarkEnd w:id="28"/>
      <w:r>
        <w:rPr>
          <w:rFonts w:hint="eastAsia" w:ascii="黑体" w:hAnsi="黑体" w:eastAsia="黑体" w:cs="Arial"/>
          <w:b/>
          <w:bCs/>
          <w:color w:val="000000"/>
          <w:sz w:val="36"/>
          <w:szCs w:val="36"/>
          <w:highlight w:val="none"/>
        </w:rPr>
        <w:t>审办法</w:t>
      </w:r>
    </w:p>
    <w:bookmarkEnd w:id="29"/>
    <w:p w14:paraId="2F655D6A">
      <w:pPr>
        <w:spacing w:line="500" w:lineRule="exact"/>
        <w:jc w:val="left"/>
        <w:rPr>
          <w:rFonts w:hint="eastAsia" w:ascii="仿宋" w:hAnsi="仿宋" w:eastAsia="仿宋" w:cs="仿宋"/>
          <w:b/>
          <w:bCs/>
          <w:color w:val="000000"/>
          <w:kern w:val="44"/>
          <w:szCs w:val="28"/>
          <w:highlight w:val="none"/>
        </w:rPr>
      </w:pPr>
      <w:bookmarkStart w:id="35" w:name="_Toc170621364"/>
      <w:bookmarkStart w:id="36" w:name="_Toc170621231"/>
      <w:bookmarkStart w:id="37" w:name="_Toc182306255"/>
      <w:bookmarkStart w:id="38" w:name="_Toc157235930"/>
      <w:bookmarkStart w:id="39" w:name="_Toc182301988"/>
      <w:bookmarkStart w:id="40" w:name="_Toc56590948"/>
      <w:bookmarkStart w:id="41" w:name="_Toc17197784"/>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1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2"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2"/>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1"/>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5"/>
      <w:bookmarkEnd w:id="36"/>
      <w:bookmarkEnd w:id="37"/>
      <w:bookmarkEnd w:id="38"/>
      <w:bookmarkEnd w:id="39"/>
      <w:bookmarkEnd w:id="40"/>
      <w:bookmarkEnd w:id="41"/>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1427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报价的算术平均值为评标基准价，评标基准价小数点后保留两位。</w:t>
            </w:r>
          </w:p>
          <w:p w14:paraId="11396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报价－基准价）/基准价</w:t>
            </w:r>
          </w:p>
          <w:p w14:paraId="1EF7F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0C49A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557E7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－偏差率×100×G；</w:t>
            </w:r>
          </w:p>
          <w:p w14:paraId="2C8E0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w:t>
            </w:r>
          </w:p>
          <w:p w14:paraId="7CB08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＋偏差率×100×H。</w:t>
            </w:r>
          </w:p>
          <w:p w14:paraId="4D9EF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181BA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32E4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09BCA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2010B2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00" w:lineRule="exact"/>
              <w:ind w:left="0" w:leftChars="0" w:righ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1201F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82" w:firstLineChars="20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3" w:name="OLE_LINK14"/>
            <w:r>
              <w:rPr>
                <w:rFonts w:hint="eastAsia" w:ascii="仿宋" w:hAnsi="仿宋" w:eastAsia="仿宋" w:cs="仿宋"/>
                <w:b/>
                <w:bCs/>
                <w:color w:val="000000"/>
                <w:sz w:val="24"/>
                <w:szCs w:val="24"/>
                <w:highlight w:val="none"/>
                <w:lang w:val="en-US" w:eastAsia="zh-CN"/>
              </w:rPr>
              <w:t>以上人员须</w:t>
            </w:r>
            <w:r>
              <w:rPr>
                <w:rFonts w:hint="eastAsia" w:ascii="仿宋" w:hAnsi="仿宋" w:eastAsia="仿宋" w:cs="仿宋"/>
                <w:b/>
                <w:bCs/>
                <w:sz w:val="24"/>
                <w:szCs w:val="24"/>
                <w:highlight w:val="none"/>
                <w:lang w:val="en-US" w:eastAsia="zh-CN" w:bidi="ar"/>
              </w:rPr>
              <w:t>提供社保缴费证明，</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bookmarkEnd w:id="43"/>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2、业绩：2021年1月1日至今，每增加</w:t>
            </w:r>
            <w:r>
              <w:rPr>
                <w:rFonts w:hint="eastAsia" w:ascii="仿宋" w:hAnsi="仿宋" w:eastAsia="仿宋" w:cs="仿宋"/>
                <w:color w:val="000000"/>
                <w:spacing w:val="-8"/>
                <w:sz w:val="24"/>
                <w:szCs w:val="24"/>
                <w:highlight w:val="none"/>
                <w:u w:val="none"/>
                <w:lang w:val="en-US" w:eastAsia="zh-CN"/>
              </w:rPr>
              <w:t>1个道路工程（含城市快速通道、三级以上公路、高速公路等）环境影响评价报告编制（含报告表或报告书）业绩，</w:t>
            </w:r>
            <w:r>
              <w:rPr>
                <w:rFonts w:hint="eastAsia" w:ascii="仿宋" w:hAnsi="仿宋" w:eastAsia="仿宋" w:cs="仿宋"/>
                <w:color w:val="000000"/>
                <w:spacing w:val="-8"/>
                <w:sz w:val="24"/>
                <w:szCs w:val="24"/>
                <w:highlight w:val="none"/>
                <w:lang w:val="en-US" w:eastAsia="zh-CN"/>
              </w:rPr>
              <w:t>加5分，此项最多得10分。</w:t>
            </w:r>
          </w:p>
          <w:p w14:paraId="2D00EFB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3"/>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30"/>
      <w:bookmarkEnd w:id="31"/>
      <w:bookmarkEnd w:id="32"/>
      <w:bookmarkEnd w:id="33"/>
      <w:bookmarkStart w:id="44" w:name="_Toc157235915"/>
      <w:bookmarkStart w:id="45" w:name="_Toc319145225"/>
      <w:bookmarkStart w:id="46" w:name="_Toc170621217"/>
      <w:bookmarkStart w:id="47" w:name="_Toc170621349"/>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4"/>
    <w:bookmarkEnd w:id="45"/>
    <w:bookmarkEnd w:id="46"/>
    <w:bookmarkEnd w:id="47"/>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4"/>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7"/>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7"/>
        <w:rPr>
          <w:rFonts w:hint="eastAsia" w:ascii="仿宋" w:hAnsi="仿宋" w:eastAsia="仿宋" w:cs="仿宋"/>
          <w:b/>
          <w:bCs/>
          <w:color w:val="000000"/>
          <w:sz w:val="72"/>
          <w:szCs w:val="72"/>
          <w:highlight w:val="none"/>
        </w:rPr>
      </w:pPr>
    </w:p>
    <w:p w14:paraId="78DE2BB9">
      <w:pPr>
        <w:pStyle w:val="7"/>
        <w:rPr>
          <w:rFonts w:hint="eastAsia" w:ascii="仿宋" w:hAnsi="仿宋" w:eastAsia="仿宋" w:cs="仿宋"/>
          <w:b/>
          <w:bCs/>
          <w:color w:val="000000"/>
          <w:sz w:val="72"/>
          <w:szCs w:val="72"/>
          <w:highlight w:val="none"/>
        </w:rPr>
      </w:pPr>
    </w:p>
    <w:p w14:paraId="38E44622">
      <w:pPr>
        <w:pStyle w:val="7"/>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8" w:name="_Toc157235917"/>
      <w:bookmarkStart w:id="49" w:name="_Toc170621351"/>
      <w:bookmarkStart w:id="50" w:name="_Toc170621219"/>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2"/>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文件第二章第五项和第六项的任何一种情形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2"/>
        <w:rPr>
          <w:rFonts w:hint="eastAsia" w:ascii="仿宋" w:hAnsi="仿宋" w:eastAsia="仿宋" w:cs="仿宋"/>
          <w:b/>
          <w:bCs/>
          <w:color w:val="000000"/>
          <w:sz w:val="21"/>
          <w:szCs w:val="21"/>
          <w:highlight w:val="none"/>
        </w:rPr>
      </w:pPr>
    </w:p>
    <w:p w14:paraId="6BE87723">
      <w:pPr>
        <w:pStyle w:val="4"/>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2"/>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0F6A295F">
            <w:pPr>
              <w:numPr>
                <w:ilvl w:val="0"/>
                <w:numId w:val="0"/>
              </w:numPr>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G663木里县桃巴至瓦厂段改建工程环境影响评价技术支撑服务单位</w:t>
            </w:r>
          </w:p>
          <w:p w14:paraId="4C6E0274">
            <w:pPr>
              <w:numPr>
                <w:ilvl w:val="0"/>
                <w:numId w:val="0"/>
              </w:numPr>
              <w:jc w:val="center"/>
              <w:rPr>
                <w:rFonts w:hint="default" w:ascii="仿宋" w:hAnsi="仿宋" w:eastAsia="仿宋" w:cs="仿宋"/>
                <w:color w:val="000000"/>
                <w:sz w:val="28"/>
                <w:szCs w:val="28"/>
                <w:highlight w:val="none"/>
                <w:lang w:val="en-US" w:eastAsia="zh-CN"/>
              </w:rPr>
            </w:pP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12</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5D8DF2E">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2"/>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4"/>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1" w:name="_Toc319145228"/>
    </w:p>
    <w:p w14:paraId="07E6A02D">
      <w:pPr>
        <w:pStyle w:val="4"/>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8"/>
      <w:bookmarkEnd w:id="49"/>
      <w:bookmarkEnd w:id="50"/>
      <w:bookmarkEnd w:id="51"/>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2" w:name="_Toc170621224"/>
      <w:bookmarkStart w:id="53" w:name="_Toc157235922"/>
      <w:bookmarkStart w:id="54" w:name="_Toc170621356"/>
      <w:bookmarkStart w:id="55" w:name="_Toc319145230"/>
    </w:p>
    <w:p w14:paraId="2157C246">
      <w:pPr>
        <w:pStyle w:val="2"/>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2"/>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2"/>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2"/>
      <w:bookmarkEnd w:id="53"/>
      <w:bookmarkEnd w:id="54"/>
      <w:bookmarkEnd w:id="55"/>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2"/>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6" w:name="_Toc319145233"/>
      <w:bookmarkStart w:id="57" w:name="_Toc157235925"/>
      <w:bookmarkStart w:id="58" w:name="_Toc170621359"/>
      <w:bookmarkStart w:id="59" w:name="_Toc170621227"/>
    </w:p>
    <w:bookmarkEnd w:id="56"/>
    <w:bookmarkEnd w:id="57"/>
    <w:bookmarkEnd w:id="58"/>
    <w:bookmarkEnd w:id="59"/>
    <w:p w14:paraId="0B9DA0B4">
      <w:pPr>
        <w:spacing w:line="380" w:lineRule="exact"/>
        <w:ind w:right="-53"/>
        <w:jc w:val="center"/>
        <w:rPr>
          <w:rFonts w:hint="eastAsia" w:ascii="仿宋" w:hAnsi="仿宋" w:eastAsia="仿宋" w:cs="仿宋"/>
          <w:b/>
          <w:bCs/>
          <w:color w:val="000000"/>
          <w:kern w:val="44"/>
          <w:sz w:val="36"/>
          <w:szCs w:val="36"/>
          <w:highlight w:val="none"/>
        </w:rPr>
      </w:pPr>
      <w:bookmarkStart w:id="60" w:name="_Toc170621361"/>
      <w:bookmarkStart w:id="61" w:name="_Toc170621229"/>
      <w:bookmarkStart w:id="62" w:name="_Toc319145235"/>
      <w:bookmarkStart w:id="63" w:name="_Toc157235927"/>
      <w:r>
        <w:rPr>
          <w:rFonts w:hint="eastAsia" w:ascii="仿宋" w:hAnsi="仿宋" w:eastAsia="仿宋" w:cs="仿宋"/>
          <w:b/>
          <w:bCs/>
          <w:color w:val="000000"/>
          <w:kern w:val="44"/>
          <w:sz w:val="36"/>
          <w:szCs w:val="36"/>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60"/>
    <w:bookmarkEnd w:id="61"/>
    <w:bookmarkEnd w:id="62"/>
    <w:bookmarkEnd w:id="63"/>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5"/>
        <w:rPr>
          <w:rFonts w:hint="eastAsia"/>
          <w:color w:val="000000"/>
        </w:rPr>
      </w:pPr>
    </w:p>
    <w:p w14:paraId="5B428E77">
      <w:pPr>
        <w:pStyle w:val="2"/>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4" w:name="_Toc319145236"/>
      <w:bookmarkStart w:id="65" w:name="_Toc170621230"/>
      <w:bookmarkStart w:id="66" w:name="_Toc157235928"/>
      <w:bookmarkStart w:id="67" w:name="_Toc170621362"/>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4"/>
    <w:bookmarkEnd w:id="65"/>
    <w:bookmarkEnd w:id="66"/>
    <w:bookmarkEnd w:id="67"/>
    <w:p w14:paraId="4C958EFB">
      <w:pPr>
        <w:pStyle w:val="2"/>
        <w:rPr>
          <w:rFonts w:hint="eastAsia"/>
          <w:color w:val="000000"/>
          <w:highlight w:val="none"/>
          <w:lang w:val="en-US" w:eastAsia="zh-CN"/>
        </w:rPr>
      </w:pPr>
    </w:p>
    <w:p w14:paraId="581DA1C1">
      <w:pPr>
        <w:pStyle w:val="4"/>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2"/>
        <w:numPr>
          <w:ilvl w:val="0"/>
          <w:numId w:val="0"/>
        </w:numPr>
        <w:rPr>
          <w:rFonts w:hint="default"/>
          <w:color w:val="000000"/>
          <w:highlight w:val="none"/>
          <w:lang w:val="en-US" w:eastAsia="zh-CN"/>
        </w:rPr>
      </w:pPr>
    </w:p>
    <w:p w14:paraId="14060F6C">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3"/>
        <w:spacing w:before="0" w:after="0" w:line="480" w:lineRule="auto"/>
        <w:ind w:left="538" w:leftChars="192"/>
        <w:jc w:val="center"/>
        <w:rPr>
          <w:rFonts w:hint="eastAsia" w:ascii="仿宋" w:hAnsi="仿宋" w:eastAsia="仿宋" w:cs="仿宋"/>
          <w:b w:val="0"/>
          <w:bCs w:val="0"/>
          <w:color w:val="000000"/>
          <w:sz w:val="36"/>
          <w:highlight w:val="none"/>
        </w:rPr>
      </w:pPr>
    </w:p>
    <w:bookmarkEnd w:id="34"/>
    <w:p w14:paraId="2E24C037">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BC93E3C"/>
    <w:p w14:paraId="27608740"/>
    <w:p w14:paraId="05702BE9"/>
    <w:p w14:paraId="01FCB1D5"/>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A52D2C-C510-4ACB-ADF6-2BBC498D7ECD}"/>
  </w:font>
  <w:font w:name="黑体">
    <w:panose1 w:val="02010609060101010101"/>
    <w:charset w:val="86"/>
    <w:family w:val="auto"/>
    <w:pitch w:val="default"/>
    <w:sig w:usb0="800002BF" w:usb1="38CF7CFA" w:usb2="00000016" w:usb3="00000000" w:csb0="00040001" w:csb1="00000000"/>
    <w:embedRegular r:id="rId2" w:fontKey="{096B9186-9AA5-44CB-B4DF-364CAD4A49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14C84551-CE88-441F-AB99-D5E572C282E4}"/>
  </w:font>
  <w:font w:name="方正小标宋简体">
    <w:panose1 w:val="02010600010101010101"/>
    <w:charset w:val="86"/>
    <w:family w:val="auto"/>
    <w:pitch w:val="default"/>
    <w:sig w:usb0="00000001" w:usb1="080E0000" w:usb2="00000000" w:usb3="00000000" w:csb0="00040000" w:csb1="00000000"/>
    <w:embedRegular r:id="rId4" w:fontKey="{0F55809F-17F5-405C-A124-41BCDA7A2E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2"/>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3419D"/>
    <w:rsid w:val="232E157C"/>
    <w:rsid w:val="5A63590E"/>
    <w:rsid w:val="633562CC"/>
    <w:rsid w:val="7223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Indent"/>
    <w:basedOn w:val="1"/>
    <w:qFormat/>
    <w:uiPriority w:val="0"/>
    <w:pPr>
      <w:ind w:firstLine="538" w:firstLineChars="192"/>
      <w:jc w:val="left"/>
    </w:pPr>
  </w:style>
  <w:style w:type="paragraph" w:styleId="7">
    <w:name w:val="Plain Text"/>
    <w:basedOn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toc 1"/>
    <w:basedOn w:val="1"/>
    <w:next w:val="1"/>
    <w:semiHidden/>
    <w:qFormat/>
    <w:uiPriority w:val="0"/>
  </w:style>
  <w:style w:type="paragraph" w:styleId="10">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6"/>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8967</Words>
  <Characters>9464</Characters>
  <Lines>0</Lines>
  <Paragraphs>0</Paragraphs>
  <TotalTime>1</TotalTime>
  <ScaleCrop>false</ScaleCrop>
  <LinksUpToDate>false</LinksUpToDate>
  <CharactersWithSpaces>10189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2026-04-15T07:39:00Z</dcterms:created>
  <dc:creator>邓楠</dc:creator>
  <cp:lastModifiedBy>邓楠</cp:lastModifiedBy>
  <cp:lastPrinted>2026-04-20T02:20:00Z</cp:lastPrinted>
  <dcterms:modified xsi:type="dcterms:W3CDTF">2026-04-23T03:12:42Z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494656A221D147049D2A2BEAB7337577_11</vt:lpwstr>
  </property>
  <property fmtid="{D5CDD505-2E9C-101B-9397-08002B2CF9AE}" pid="4" name="KSOTemplateDocerSaveRecord">
    <vt:lpwstr>eyJoZGlkIjoiNGFmOGVmZTBkYTBhODEyODE4ZTc2MTVkYjFkMzBjYWMiLCJ1c2VySWQiOiIxNjU3NTE2MDEzIn0=</vt:lpwstr>
  </property>
</Properties>
</file>