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B3F3">
      <w:pPr>
        <w:pStyle w:val="18"/>
        <w:rPr>
          <w:rFonts w:ascii="Times New Roman" w:hAnsi="Times New Roman" w:eastAsia="方正小标宋简体"/>
          <w:b w:val="0"/>
          <w:bCs w:val="0"/>
          <w:color w:val="auto"/>
          <w:kern w:val="2"/>
          <w:sz w:val="48"/>
          <w:szCs w:val="48"/>
          <w:highlight w:val="none"/>
        </w:rPr>
      </w:pPr>
    </w:p>
    <w:p w14:paraId="350AC486">
      <w:pPr>
        <w:pStyle w:val="18"/>
        <w:outlineLvl w:val="9"/>
        <w:rPr>
          <w:rFonts w:hint="eastAsia" w:ascii="仿宋" w:hAnsi="仿宋" w:eastAsia="仿宋" w:cs="仿宋"/>
          <w:color w:val="auto"/>
          <w:kern w:val="2"/>
          <w:sz w:val="48"/>
          <w:szCs w:val="48"/>
          <w:highlight w:val="none"/>
        </w:rPr>
      </w:pPr>
      <w:r>
        <w:rPr>
          <w:rFonts w:hint="eastAsia" w:ascii="仿宋" w:hAnsi="仿宋" w:eastAsia="仿宋" w:cs="仿宋"/>
          <w:color w:val="auto"/>
          <w:kern w:val="2"/>
          <w:sz w:val="48"/>
          <w:szCs w:val="48"/>
          <w:highlight w:val="none"/>
        </w:rPr>
        <w:t>凉山州交通城市建设投资集团有限责任公司</w:t>
      </w:r>
      <w:r>
        <w:rPr>
          <w:rFonts w:hint="eastAsia" w:ascii="仿宋" w:hAnsi="仿宋" w:eastAsia="仿宋" w:cs="仿宋"/>
          <w:color w:val="auto"/>
          <w:kern w:val="2"/>
          <w:sz w:val="48"/>
          <w:szCs w:val="48"/>
          <w:highlight w:val="none"/>
          <w:lang w:val="en-US" w:eastAsia="zh-CN"/>
        </w:rPr>
        <w:t>移动办公</w:t>
      </w:r>
      <w:r>
        <w:rPr>
          <w:rFonts w:hint="eastAsia" w:ascii="仿宋" w:hAnsi="仿宋" w:eastAsia="仿宋" w:cs="仿宋"/>
          <w:color w:val="auto"/>
          <w:kern w:val="2"/>
          <w:sz w:val="48"/>
          <w:szCs w:val="48"/>
          <w:highlight w:val="none"/>
        </w:rPr>
        <w:t>平台技术服务采购项目</w:t>
      </w:r>
    </w:p>
    <w:p w14:paraId="3EBA776C">
      <w:pPr>
        <w:spacing w:line="480" w:lineRule="auto"/>
        <w:jc w:val="center"/>
        <w:rPr>
          <w:rFonts w:ascii="Times New Roman" w:hAnsi="Times New Roman" w:eastAsia="方正小标宋简体"/>
          <w:color w:val="auto"/>
          <w:sz w:val="48"/>
          <w:szCs w:val="48"/>
          <w:highlight w:val="none"/>
        </w:rPr>
      </w:pPr>
    </w:p>
    <w:p w14:paraId="36CAFBC7">
      <w:pPr>
        <w:spacing w:line="480" w:lineRule="auto"/>
        <w:jc w:val="center"/>
        <w:rPr>
          <w:rFonts w:ascii="Times New Roman" w:hAnsi="Times New Roman" w:eastAsia="方正小标宋简体"/>
          <w:color w:val="auto"/>
          <w:sz w:val="48"/>
          <w:szCs w:val="48"/>
          <w:highlight w:val="none"/>
        </w:rPr>
      </w:pPr>
    </w:p>
    <w:p w14:paraId="27F21FDE">
      <w:pPr>
        <w:spacing w:line="480" w:lineRule="auto"/>
        <w:jc w:val="center"/>
        <w:rPr>
          <w:rFonts w:hint="eastAsia" w:ascii="仿宋" w:hAnsi="仿宋" w:eastAsia="仿宋" w:cs="仿宋"/>
          <w:b/>
          <w:bCs/>
          <w:color w:val="auto"/>
          <w:sz w:val="84"/>
          <w:szCs w:val="84"/>
          <w:highlight w:val="none"/>
        </w:rPr>
      </w:pPr>
      <w:r>
        <w:rPr>
          <w:rFonts w:hint="eastAsia" w:ascii="仿宋" w:hAnsi="仿宋" w:eastAsia="仿宋" w:cs="仿宋"/>
          <w:b/>
          <w:bCs/>
          <w:color w:val="auto"/>
          <w:sz w:val="48"/>
          <w:szCs w:val="48"/>
          <w:highlight w:val="none"/>
        </w:rPr>
        <w:t>比 选 文 件</w:t>
      </w:r>
    </w:p>
    <w:p w14:paraId="6E4683E7">
      <w:pPr>
        <w:pStyle w:val="15"/>
        <w:rPr>
          <w:rFonts w:hint="eastAsia" w:ascii="仿宋" w:hAnsi="仿宋" w:eastAsia="仿宋" w:cs="仿宋"/>
          <w:b/>
          <w:bCs/>
          <w:color w:val="auto"/>
          <w:highlight w:val="none"/>
          <w:lang w:val="en-US" w:eastAsia="zh-CN"/>
        </w:rPr>
      </w:pPr>
    </w:p>
    <w:p w14:paraId="30203D58">
      <w:pPr>
        <w:pStyle w:val="15"/>
        <w:rPr>
          <w:rFonts w:hint="eastAsia" w:ascii="仿宋" w:hAnsi="仿宋" w:eastAsia="仿宋" w:cs="仿宋"/>
          <w:b/>
          <w:bCs/>
          <w:color w:val="auto"/>
          <w:highlight w:val="none"/>
          <w:lang w:val="en-US" w:eastAsia="zh-CN"/>
        </w:rPr>
      </w:pPr>
    </w:p>
    <w:p w14:paraId="16E8FFE6">
      <w:pPr>
        <w:pStyle w:val="15"/>
        <w:rPr>
          <w:rFonts w:hint="eastAsia" w:ascii="仿宋" w:hAnsi="仿宋" w:eastAsia="仿宋" w:cs="仿宋"/>
          <w:b/>
          <w:bCs/>
          <w:color w:val="auto"/>
          <w:highlight w:val="none"/>
          <w:lang w:val="en-US" w:eastAsia="zh-CN"/>
        </w:rPr>
      </w:pPr>
    </w:p>
    <w:p w14:paraId="14E6653D">
      <w:pPr>
        <w:pStyle w:val="15"/>
        <w:rPr>
          <w:rFonts w:hint="eastAsia" w:ascii="仿宋" w:hAnsi="仿宋" w:eastAsia="仿宋" w:cs="仿宋"/>
          <w:b/>
          <w:bCs/>
          <w:color w:val="auto"/>
          <w:highlight w:val="none"/>
          <w:lang w:val="en-US" w:eastAsia="zh-CN"/>
        </w:rPr>
      </w:pPr>
    </w:p>
    <w:p w14:paraId="03C0E2CB">
      <w:pPr>
        <w:pStyle w:val="15"/>
        <w:rPr>
          <w:rFonts w:hint="eastAsia" w:ascii="仿宋" w:hAnsi="仿宋" w:eastAsia="仿宋" w:cs="仿宋"/>
          <w:b/>
          <w:bCs/>
          <w:color w:val="auto"/>
          <w:highlight w:val="none"/>
          <w:lang w:val="en-US" w:eastAsia="zh-CN"/>
        </w:rPr>
      </w:pPr>
    </w:p>
    <w:p w14:paraId="7F07CF30">
      <w:pPr>
        <w:pStyle w:val="15"/>
        <w:rPr>
          <w:rFonts w:hint="eastAsia" w:ascii="仿宋" w:hAnsi="仿宋" w:eastAsia="仿宋" w:cs="仿宋"/>
          <w:b/>
          <w:bCs/>
          <w:color w:val="auto"/>
          <w:highlight w:val="none"/>
          <w:lang w:val="en-US" w:eastAsia="zh-CN"/>
        </w:rPr>
      </w:pPr>
    </w:p>
    <w:p w14:paraId="0E484755">
      <w:pPr>
        <w:pStyle w:val="15"/>
        <w:rPr>
          <w:rFonts w:hint="eastAsia" w:ascii="仿宋" w:hAnsi="仿宋" w:eastAsia="仿宋" w:cs="仿宋"/>
          <w:b/>
          <w:bCs/>
          <w:color w:val="auto"/>
          <w:highlight w:val="none"/>
          <w:lang w:val="en-US" w:eastAsia="zh-CN"/>
        </w:rPr>
      </w:pPr>
    </w:p>
    <w:p w14:paraId="6F1BA3B6">
      <w:pPr>
        <w:pStyle w:val="15"/>
        <w:rPr>
          <w:rFonts w:hint="eastAsia" w:ascii="仿宋" w:hAnsi="仿宋" w:eastAsia="仿宋" w:cs="仿宋"/>
          <w:b/>
          <w:bCs/>
          <w:color w:val="auto"/>
          <w:highlight w:val="none"/>
          <w:lang w:val="en-US" w:eastAsia="zh-CN"/>
        </w:rPr>
      </w:pPr>
    </w:p>
    <w:p w14:paraId="6F556DDA">
      <w:pPr>
        <w:pStyle w:val="15"/>
        <w:rPr>
          <w:rFonts w:hint="eastAsia" w:ascii="仿宋" w:hAnsi="仿宋" w:eastAsia="仿宋" w:cs="仿宋"/>
          <w:b/>
          <w:bCs/>
          <w:color w:val="auto"/>
          <w:highlight w:val="none"/>
          <w:lang w:val="en-US" w:eastAsia="zh-CN"/>
        </w:rPr>
      </w:pPr>
    </w:p>
    <w:p w14:paraId="1CC0676E">
      <w:pPr>
        <w:pStyle w:val="15"/>
        <w:rPr>
          <w:rFonts w:hint="eastAsia" w:ascii="仿宋" w:hAnsi="仿宋" w:eastAsia="仿宋" w:cs="仿宋"/>
          <w:b/>
          <w:bCs/>
          <w:color w:val="auto"/>
          <w:highlight w:val="none"/>
          <w:lang w:val="en-US" w:eastAsia="zh-CN"/>
        </w:rPr>
      </w:pPr>
    </w:p>
    <w:p w14:paraId="2B3B087E">
      <w:pPr>
        <w:pStyle w:val="15"/>
        <w:rPr>
          <w:rFonts w:hint="eastAsia" w:ascii="仿宋" w:hAnsi="仿宋" w:eastAsia="仿宋" w:cs="仿宋"/>
          <w:b/>
          <w:bCs/>
          <w:color w:val="auto"/>
          <w:highlight w:val="none"/>
          <w:lang w:val="en-US" w:eastAsia="zh-CN"/>
        </w:rPr>
      </w:pPr>
    </w:p>
    <w:p w14:paraId="73757B87">
      <w:pPr>
        <w:pStyle w:val="15"/>
        <w:rPr>
          <w:rFonts w:hint="eastAsia" w:ascii="仿宋" w:hAnsi="仿宋" w:eastAsia="仿宋" w:cs="仿宋"/>
          <w:b/>
          <w:bCs/>
          <w:color w:val="auto"/>
          <w:highlight w:val="none"/>
          <w:lang w:val="en-US" w:eastAsia="zh-CN"/>
        </w:rPr>
      </w:pPr>
    </w:p>
    <w:p w14:paraId="2CE777CE">
      <w:pPr>
        <w:pStyle w:val="15"/>
        <w:rPr>
          <w:rFonts w:hint="eastAsia" w:ascii="仿宋" w:hAnsi="仿宋" w:eastAsia="仿宋" w:cs="仿宋"/>
          <w:b/>
          <w:bCs/>
          <w:color w:val="auto"/>
          <w:highlight w:val="none"/>
          <w:lang w:val="en-US" w:eastAsia="zh-CN"/>
        </w:rPr>
      </w:pPr>
    </w:p>
    <w:p w14:paraId="5F5680A4">
      <w:pPr>
        <w:pStyle w:val="15"/>
        <w:rPr>
          <w:rFonts w:hint="eastAsia" w:ascii="仿宋" w:hAnsi="仿宋" w:eastAsia="仿宋" w:cs="仿宋"/>
          <w:b/>
          <w:bCs/>
          <w:color w:val="auto"/>
          <w:highlight w:val="none"/>
          <w:lang w:val="en-US" w:eastAsia="zh-CN"/>
        </w:rPr>
      </w:pPr>
    </w:p>
    <w:p w14:paraId="3866DE7E">
      <w:pPr>
        <w:rPr>
          <w:rFonts w:hint="eastAsia" w:ascii="仿宋" w:hAnsi="仿宋" w:eastAsia="仿宋" w:cs="仿宋"/>
          <w:b/>
          <w:bCs/>
          <w:color w:val="auto"/>
          <w:highlight w:val="none"/>
        </w:rPr>
      </w:pPr>
    </w:p>
    <w:p w14:paraId="47AFB427">
      <w:pPr>
        <w:pStyle w:val="15"/>
        <w:rPr>
          <w:rFonts w:hint="eastAsia" w:ascii="仿宋" w:hAnsi="仿宋" w:eastAsia="仿宋" w:cs="仿宋"/>
          <w:b/>
          <w:bCs/>
          <w:color w:val="auto"/>
          <w:highlight w:val="none"/>
          <w:lang w:eastAsia="zh-CN"/>
        </w:rPr>
      </w:pPr>
    </w:p>
    <w:p w14:paraId="2E17A839">
      <w:pPr>
        <w:rPr>
          <w:rFonts w:hint="eastAsia" w:ascii="仿宋" w:hAnsi="仿宋" w:eastAsia="仿宋" w:cs="仿宋"/>
          <w:b/>
          <w:bCs/>
          <w:color w:val="auto"/>
          <w:highlight w:val="none"/>
        </w:rPr>
      </w:pPr>
    </w:p>
    <w:p w14:paraId="52FE5845">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比选人：凉山州交通城市建设投资集团有限责任公司</w:t>
      </w:r>
    </w:p>
    <w:p w14:paraId="5E781BB6">
      <w:pPr>
        <w:widowControl/>
        <w:spacing w:line="700" w:lineRule="exact"/>
        <w:jc w:val="center"/>
        <w:rPr>
          <w:rFonts w:hint="eastAsia" w:ascii="仿宋" w:hAnsi="仿宋" w:eastAsia="仿宋" w:cs="仿宋"/>
          <w:b/>
          <w:bCs/>
          <w:color w:val="auto"/>
          <w:sz w:val="36"/>
          <w:szCs w:val="21"/>
          <w:highlight w:val="none"/>
        </w:rPr>
      </w:pPr>
      <w:r>
        <w:rPr>
          <w:rFonts w:hint="eastAsia" w:ascii="仿宋" w:hAnsi="仿宋" w:eastAsia="仿宋" w:cs="仿宋"/>
          <w:b/>
          <w:bCs/>
          <w:color w:val="auto"/>
          <w:sz w:val="36"/>
          <w:szCs w:val="21"/>
          <w:highlight w:val="none"/>
        </w:rPr>
        <w:t>比选代理机构：凉山交投工程规划设计管理有限公司</w:t>
      </w:r>
    </w:p>
    <w:p w14:paraId="2D40D41B">
      <w:pPr>
        <w:widowControl/>
        <w:spacing w:line="700" w:lineRule="exact"/>
        <w:jc w:val="center"/>
        <w:rPr>
          <w:rFonts w:hint="eastAsia" w:ascii="仿宋" w:hAnsi="仿宋" w:eastAsia="仿宋" w:cs="仿宋"/>
          <w:b/>
          <w:bCs/>
          <w:color w:val="auto"/>
          <w:sz w:val="36"/>
          <w:highlight w:val="none"/>
        </w:rPr>
      </w:pPr>
      <w:r>
        <w:rPr>
          <w:rFonts w:hint="eastAsia" w:ascii="仿宋" w:hAnsi="仿宋" w:eastAsia="仿宋" w:cs="仿宋"/>
          <w:b/>
          <w:bCs/>
          <w:color w:val="auto"/>
          <w:sz w:val="36"/>
          <w:szCs w:val="21"/>
          <w:highlight w:val="none"/>
          <w:lang w:val="zh-CN"/>
        </w:rPr>
        <w:t>20</w:t>
      </w:r>
      <w:r>
        <w:rPr>
          <w:rFonts w:hint="eastAsia" w:ascii="仿宋" w:hAnsi="仿宋" w:eastAsia="仿宋" w:cs="仿宋"/>
          <w:b/>
          <w:bCs/>
          <w:color w:val="auto"/>
          <w:sz w:val="36"/>
          <w:szCs w:val="21"/>
          <w:highlight w:val="none"/>
        </w:rPr>
        <w:t>2</w:t>
      </w:r>
      <w:r>
        <w:rPr>
          <w:rFonts w:hint="eastAsia" w:ascii="仿宋" w:hAnsi="仿宋" w:eastAsia="仿宋" w:cs="仿宋"/>
          <w:b/>
          <w:bCs/>
          <w:color w:val="auto"/>
          <w:sz w:val="36"/>
          <w:szCs w:val="21"/>
          <w:highlight w:val="none"/>
          <w:lang w:val="en-US" w:eastAsia="zh-CN"/>
        </w:rPr>
        <w:t>6</w:t>
      </w:r>
      <w:r>
        <w:rPr>
          <w:rFonts w:hint="eastAsia" w:ascii="仿宋" w:hAnsi="仿宋" w:eastAsia="仿宋" w:cs="仿宋"/>
          <w:b/>
          <w:bCs/>
          <w:color w:val="auto"/>
          <w:sz w:val="36"/>
          <w:szCs w:val="21"/>
          <w:highlight w:val="none"/>
          <w:lang w:val="zh-CN"/>
        </w:rPr>
        <w:t>年</w:t>
      </w:r>
      <w:r>
        <w:rPr>
          <w:rFonts w:hint="eastAsia" w:ascii="仿宋" w:hAnsi="仿宋" w:eastAsia="仿宋" w:cs="仿宋"/>
          <w:b/>
          <w:bCs/>
          <w:color w:val="auto"/>
          <w:sz w:val="36"/>
          <w:szCs w:val="21"/>
          <w:highlight w:val="none"/>
          <w:lang w:val="en-US" w:eastAsia="zh-CN"/>
        </w:rPr>
        <w:t>1</w:t>
      </w:r>
      <w:r>
        <w:rPr>
          <w:rFonts w:hint="eastAsia" w:ascii="仿宋" w:hAnsi="仿宋" w:eastAsia="仿宋" w:cs="仿宋"/>
          <w:b/>
          <w:bCs/>
          <w:color w:val="auto"/>
          <w:sz w:val="36"/>
          <w:szCs w:val="21"/>
          <w:highlight w:val="none"/>
          <w:lang w:val="zh-CN"/>
        </w:rPr>
        <w:t>月</w:t>
      </w:r>
    </w:p>
    <w:p w14:paraId="1AD54E76">
      <w:pPr>
        <w:spacing w:line="480" w:lineRule="auto"/>
        <w:jc w:val="center"/>
        <w:rPr>
          <w:rFonts w:ascii="Times New Roman" w:hAnsi="Times New Roman" w:eastAsia="方正小标宋简体"/>
          <w:b/>
          <w:color w:val="auto"/>
          <w:sz w:val="44"/>
          <w:szCs w:val="44"/>
          <w:highlight w:val="none"/>
        </w:rPr>
      </w:pPr>
    </w:p>
    <w:p w14:paraId="0AA765E9">
      <w:pPr>
        <w:pageBreakBefore/>
        <w:spacing w:line="480" w:lineRule="auto"/>
        <w:jc w:val="center"/>
        <w:rPr>
          <w:rFonts w:ascii="Times New Roman" w:hAnsi="Times New Roman" w:eastAsia="方正小标宋简体"/>
          <w:b/>
          <w:color w:val="auto"/>
          <w:sz w:val="44"/>
          <w:szCs w:val="44"/>
          <w:highlight w:val="none"/>
        </w:rPr>
      </w:pPr>
      <w:r>
        <w:rPr>
          <w:rFonts w:ascii="Times New Roman" w:hAnsi="Times New Roman" w:eastAsia="方正小标宋简体"/>
          <w:b/>
          <w:color w:val="auto"/>
          <w:sz w:val="44"/>
          <w:szCs w:val="44"/>
          <w:highlight w:val="none"/>
        </w:rPr>
        <w:t>目 录</w:t>
      </w:r>
    </w:p>
    <w:p w14:paraId="7B4B0FA3">
      <w:pPr>
        <w:pStyle w:val="20"/>
        <w:tabs>
          <w:tab w:val="right" w:leader="dot" w:pos="9638"/>
        </w:tabs>
        <w:ind w:left="560"/>
        <w:rPr>
          <w:color w:val="auto"/>
          <w:highlight w:val="none"/>
        </w:rPr>
      </w:pPr>
      <w:r>
        <w:rPr>
          <w:rFonts w:ascii="Times New Roman" w:hAnsi="Times New Roman" w:eastAsia="仿宋"/>
          <w:b/>
          <w:bCs/>
          <w:color w:val="auto"/>
          <w:sz w:val="32"/>
          <w:szCs w:val="32"/>
          <w:highlight w:val="none"/>
        </w:rPr>
        <w:fldChar w:fldCharType="begin"/>
      </w:r>
      <w:r>
        <w:rPr>
          <w:rFonts w:ascii="Times New Roman" w:hAnsi="Times New Roman" w:eastAsia="仿宋"/>
          <w:b/>
          <w:bCs/>
          <w:color w:val="auto"/>
          <w:sz w:val="32"/>
          <w:szCs w:val="32"/>
          <w:highlight w:val="none"/>
        </w:rPr>
        <w:instrText xml:space="preserve"> TOC  \* MERGEFORMAT </w:instrText>
      </w:r>
      <w:r>
        <w:rPr>
          <w:rFonts w:ascii="Times New Roman" w:hAnsi="Times New Roman" w:eastAsia="仿宋"/>
          <w:b/>
          <w:bCs/>
          <w:color w:val="auto"/>
          <w:sz w:val="32"/>
          <w:szCs w:val="32"/>
          <w:highlight w:val="none"/>
        </w:rPr>
        <w:fldChar w:fldCharType="separate"/>
      </w:r>
    </w:p>
    <w:p w14:paraId="00B6B68A">
      <w:pPr>
        <w:pStyle w:val="17"/>
        <w:tabs>
          <w:tab w:val="right" w:leader="dot" w:pos="9638"/>
        </w:tabs>
        <w:rPr>
          <w:color w:val="auto"/>
          <w:highlight w:val="none"/>
        </w:rPr>
      </w:pPr>
      <w:r>
        <w:rPr>
          <w:rFonts w:ascii="Times New Roman" w:hAnsi="Times New Roman" w:eastAsia="黑体"/>
          <w:color w:val="auto"/>
          <w:szCs w:val="36"/>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_Toc23007 \h </w:instrText>
      </w:r>
      <w:r>
        <w:rPr>
          <w:color w:val="auto"/>
          <w:highlight w:val="none"/>
        </w:rPr>
        <w:fldChar w:fldCharType="separate"/>
      </w:r>
      <w:r>
        <w:rPr>
          <w:color w:val="auto"/>
          <w:highlight w:val="none"/>
        </w:rPr>
        <w:t>3</w:t>
      </w:r>
      <w:r>
        <w:rPr>
          <w:color w:val="auto"/>
          <w:highlight w:val="none"/>
        </w:rPr>
        <w:fldChar w:fldCharType="end"/>
      </w:r>
    </w:p>
    <w:p w14:paraId="33AE1C9D">
      <w:pPr>
        <w:pStyle w:val="17"/>
        <w:tabs>
          <w:tab w:val="right" w:leader="dot" w:pos="9638"/>
        </w:tabs>
        <w:rPr>
          <w:color w:val="auto"/>
          <w:highlight w:val="none"/>
        </w:rPr>
      </w:pPr>
      <w:r>
        <w:rPr>
          <w:rFonts w:ascii="Times New Roman" w:hAnsi="Times New Roman" w:eastAsia="黑体"/>
          <w:color w:val="auto"/>
          <w:szCs w:val="36"/>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_Toc19230 \h </w:instrText>
      </w:r>
      <w:r>
        <w:rPr>
          <w:color w:val="auto"/>
          <w:highlight w:val="none"/>
        </w:rPr>
        <w:fldChar w:fldCharType="separate"/>
      </w:r>
      <w:r>
        <w:rPr>
          <w:color w:val="auto"/>
          <w:highlight w:val="none"/>
        </w:rPr>
        <w:t>6</w:t>
      </w:r>
      <w:r>
        <w:rPr>
          <w:color w:val="auto"/>
          <w:highlight w:val="none"/>
        </w:rPr>
        <w:fldChar w:fldCharType="end"/>
      </w:r>
    </w:p>
    <w:p w14:paraId="45B8E463">
      <w:pPr>
        <w:pStyle w:val="17"/>
        <w:tabs>
          <w:tab w:val="right" w:leader="dot" w:pos="9638"/>
        </w:tabs>
        <w:rPr>
          <w:color w:val="auto"/>
          <w:highlight w:val="none"/>
        </w:rPr>
      </w:pPr>
      <w:r>
        <w:rPr>
          <w:rFonts w:ascii="Times New Roman" w:hAnsi="Times New Roman" w:eastAsia="黑体"/>
          <w:color w:val="auto"/>
          <w:szCs w:val="36"/>
          <w:highlight w:val="none"/>
        </w:rPr>
        <w:t>第</w:t>
      </w:r>
      <w:r>
        <w:rPr>
          <w:rFonts w:hint="eastAsia" w:ascii="Times New Roman" w:hAnsi="Times New Roman" w:eastAsia="黑体"/>
          <w:color w:val="auto"/>
          <w:szCs w:val="36"/>
          <w:highlight w:val="none"/>
        </w:rPr>
        <w:t>三</w:t>
      </w:r>
      <w:r>
        <w:rPr>
          <w:rFonts w:ascii="Times New Roman" w:hAnsi="Times New Roman" w:eastAsia="黑体"/>
          <w:color w:val="auto"/>
          <w:szCs w:val="36"/>
          <w:highlight w:val="none"/>
        </w:rPr>
        <w:t xml:space="preserve">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比选办法</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22</w:t>
      </w:r>
      <w:r>
        <w:rPr>
          <w:color w:val="auto"/>
          <w:highlight w:val="none"/>
        </w:rPr>
        <w:fldChar w:fldCharType="end"/>
      </w:r>
    </w:p>
    <w:p w14:paraId="4EAEA117">
      <w:pPr>
        <w:pStyle w:val="17"/>
        <w:tabs>
          <w:tab w:val="right" w:leader="dot" w:pos="9638"/>
        </w:tabs>
        <w:rPr>
          <w:color w:val="auto"/>
          <w:highlight w:val="none"/>
        </w:rPr>
      </w:pPr>
      <w:r>
        <w:rPr>
          <w:rFonts w:ascii="Times New Roman" w:hAnsi="Times New Roman" w:eastAsia="黑体"/>
          <w:color w:val="auto"/>
          <w:szCs w:val="36"/>
          <w:highlight w:val="none"/>
        </w:rPr>
        <w:t xml:space="preserve">第四章 </w:t>
      </w:r>
      <w:r>
        <w:rPr>
          <w:rFonts w:hint="eastAsia" w:ascii="Times New Roman" w:hAnsi="Times New Roman" w:eastAsia="黑体"/>
          <w:color w:val="auto"/>
          <w:szCs w:val="36"/>
          <w:highlight w:val="none"/>
        </w:rPr>
        <w:t xml:space="preserve"> </w:t>
      </w:r>
      <w:r>
        <w:rPr>
          <w:rFonts w:ascii="Times New Roman" w:hAnsi="Times New Roman" w:eastAsia="黑体"/>
          <w:color w:val="auto"/>
          <w:szCs w:val="36"/>
          <w:highlight w:val="none"/>
        </w:rPr>
        <w:t>合同条款</w:t>
      </w:r>
      <w:r>
        <w:rPr>
          <w:color w:val="auto"/>
          <w:highlight w:val="none"/>
        </w:rPr>
        <w:tab/>
      </w:r>
      <w:r>
        <w:rPr>
          <w:color w:val="auto"/>
          <w:highlight w:val="none"/>
        </w:rPr>
        <w:fldChar w:fldCharType="begin"/>
      </w:r>
      <w:r>
        <w:rPr>
          <w:color w:val="auto"/>
          <w:highlight w:val="none"/>
        </w:rPr>
        <w:instrText xml:space="preserve"> PAGEREF _Toc10626 \h </w:instrText>
      </w:r>
      <w:r>
        <w:rPr>
          <w:color w:val="auto"/>
          <w:highlight w:val="none"/>
        </w:rPr>
        <w:fldChar w:fldCharType="separate"/>
      </w:r>
      <w:r>
        <w:rPr>
          <w:color w:val="auto"/>
          <w:highlight w:val="none"/>
        </w:rPr>
        <w:t>26</w:t>
      </w:r>
      <w:r>
        <w:rPr>
          <w:color w:val="auto"/>
          <w:highlight w:val="none"/>
        </w:rPr>
        <w:fldChar w:fldCharType="end"/>
      </w:r>
    </w:p>
    <w:p w14:paraId="63E148B2">
      <w:pPr>
        <w:pStyle w:val="17"/>
        <w:tabs>
          <w:tab w:val="right" w:leader="dot" w:pos="9638"/>
        </w:tabs>
        <w:rPr>
          <w:color w:val="auto"/>
          <w:highlight w:val="none"/>
        </w:rPr>
      </w:pPr>
      <w:r>
        <w:rPr>
          <w:rFonts w:ascii="Times New Roman" w:hAnsi="Times New Roman" w:eastAsia="黑体"/>
          <w:color w:val="auto"/>
          <w:szCs w:val="36"/>
          <w:highlight w:val="none"/>
        </w:rPr>
        <w:t>第五章  比选申请文件格式</w:t>
      </w:r>
      <w:r>
        <w:rPr>
          <w:color w:val="auto"/>
          <w:highlight w:val="none"/>
        </w:rPr>
        <w:tab/>
      </w:r>
      <w:r>
        <w:rPr>
          <w:color w:val="auto"/>
          <w:highlight w:val="none"/>
        </w:rPr>
        <w:fldChar w:fldCharType="begin"/>
      </w:r>
      <w:r>
        <w:rPr>
          <w:color w:val="auto"/>
          <w:highlight w:val="none"/>
        </w:rPr>
        <w:instrText xml:space="preserve"> PAGEREF _Toc16940 \h </w:instrText>
      </w:r>
      <w:r>
        <w:rPr>
          <w:color w:val="auto"/>
          <w:highlight w:val="none"/>
        </w:rPr>
        <w:fldChar w:fldCharType="separate"/>
      </w:r>
      <w:r>
        <w:rPr>
          <w:color w:val="auto"/>
          <w:highlight w:val="none"/>
        </w:rPr>
        <w:t>27</w:t>
      </w:r>
      <w:r>
        <w:rPr>
          <w:color w:val="auto"/>
          <w:highlight w:val="none"/>
        </w:rPr>
        <w:fldChar w:fldCharType="end"/>
      </w:r>
    </w:p>
    <w:p w14:paraId="1D568DBD">
      <w:pPr>
        <w:rPr>
          <w:rFonts w:ascii="Times New Roman" w:hAnsi="Times New Roman"/>
          <w:color w:val="auto"/>
          <w:highlight w:val="none"/>
        </w:rPr>
      </w:pPr>
      <w:r>
        <w:rPr>
          <w:rFonts w:ascii="Times New Roman" w:hAnsi="Times New Roman"/>
          <w:color w:val="auto"/>
          <w:highlight w:val="none"/>
        </w:rPr>
        <w:fldChar w:fldCharType="end"/>
      </w:r>
      <w:bookmarkStart w:id="0" w:name="_Toc170621332"/>
      <w:bookmarkStart w:id="1" w:name="_Toc157235899"/>
      <w:bookmarkStart w:id="2" w:name="_Toc170621200"/>
      <w:bookmarkStart w:id="3" w:name="_Toc187120136"/>
      <w:bookmarkStart w:id="4" w:name="_Toc319145201"/>
    </w:p>
    <w:p w14:paraId="3C92BA20">
      <w:pPr>
        <w:spacing w:line="480" w:lineRule="auto"/>
        <w:jc w:val="center"/>
        <w:rPr>
          <w:rFonts w:ascii="Times New Roman" w:hAnsi="Times New Roman"/>
          <w:color w:val="auto"/>
          <w:highlight w:val="none"/>
        </w:rPr>
      </w:pPr>
    </w:p>
    <w:p w14:paraId="10BF0A10">
      <w:pPr>
        <w:spacing w:line="480" w:lineRule="auto"/>
        <w:jc w:val="center"/>
        <w:rPr>
          <w:rFonts w:ascii="Times New Roman" w:hAnsi="Times New Roman"/>
          <w:color w:val="auto"/>
          <w:highlight w:val="none"/>
        </w:rPr>
      </w:pPr>
    </w:p>
    <w:p w14:paraId="5A37AA24">
      <w:pPr>
        <w:spacing w:line="480" w:lineRule="auto"/>
        <w:jc w:val="center"/>
        <w:rPr>
          <w:rFonts w:ascii="Times New Roman" w:hAnsi="Times New Roman"/>
          <w:color w:val="auto"/>
          <w:highlight w:val="none"/>
        </w:rPr>
      </w:pPr>
    </w:p>
    <w:p w14:paraId="498EC820">
      <w:pPr>
        <w:spacing w:line="480" w:lineRule="auto"/>
        <w:rPr>
          <w:rFonts w:ascii="Times New Roman" w:hAnsi="Times New Roman"/>
          <w:color w:val="auto"/>
          <w:highlight w:val="none"/>
        </w:rPr>
      </w:pPr>
    </w:p>
    <w:p w14:paraId="5F40AEA2">
      <w:pPr>
        <w:pStyle w:val="4"/>
        <w:pageBreakBefore/>
        <w:spacing w:before="0" w:after="0" w:line="480" w:lineRule="auto"/>
        <w:jc w:val="center"/>
        <w:rPr>
          <w:rFonts w:ascii="Times New Roman" w:hAnsi="Times New Roman" w:eastAsia="黑体"/>
          <w:color w:val="auto"/>
          <w:sz w:val="36"/>
          <w:szCs w:val="36"/>
          <w:highlight w:val="none"/>
        </w:rPr>
        <w:sectPr>
          <w:footerReference r:id="rId3" w:type="default"/>
          <w:pgSz w:w="11850" w:h="16783"/>
          <w:pgMar w:top="960" w:right="1666" w:bottom="1267" w:left="1777" w:header="0" w:footer="1088" w:gutter="0"/>
          <w:cols w:space="720" w:num="1"/>
        </w:sectPr>
      </w:pPr>
    </w:p>
    <w:p w14:paraId="04DC55D4">
      <w:pPr>
        <w:pStyle w:val="4"/>
        <w:pageBreakBefore/>
        <w:spacing w:before="0" w:after="0" w:line="480" w:lineRule="auto"/>
        <w:jc w:val="center"/>
        <w:rPr>
          <w:rFonts w:ascii="Times New Roman" w:hAnsi="Times New Roman" w:eastAsia="黑体"/>
          <w:color w:val="auto"/>
          <w:sz w:val="36"/>
          <w:szCs w:val="36"/>
          <w:highlight w:val="none"/>
        </w:rPr>
      </w:pPr>
      <w:bookmarkStart w:id="5" w:name="_Toc23007"/>
      <w:r>
        <w:rPr>
          <w:rFonts w:ascii="Times New Roman" w:hAnsi="Times New Roman" w:eastAsia="黑体"/>
          <w:color w:val="auto"/>
          <w:sz w:val="36"/>
          <w:szCs w:val="36"/>
          <w:highlight w:val="none"/>
        </w:rPr>
        <w:t>第一章  比选公告</w:t>
      </w:r>
      <w:bookmarkEnd w:id="5"/>
    </w:p>
    <w:p w14:paraId="6DEAA2B3">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凉山州交通城市建设投资集团有限责任公司根据经营需要，采用公开比选方式，采购</w:t>
      </w:r>
      <w:r>
        <w:rPr>
          <w:rFonts w:hint="eastAsia" w:ascii="Times New Roman" w:hAnsi="Times New Roman" w:eastAsia="仿宋"/>
          <w:color w:val="auto"/>
          <w:spacing w:val="5"/>
          <w:szCs w:val="28"/>
          <w:highlight w:val="none"/>
          <w:lang w:val="en-US" w:eastAsia="zh-CN"/>
        </w:rPr>
        <w:t>移动办公</w:t>
      </w:r>
      <w:r>
        <w:rPr>
          <w:rFonts w:hint="eastAsia" w:ascii="Times New Roman" w:hAnsi="Times New Roman" w:eastAsia="仿宋"/>
          <w:color w:val="auto"/>
          <w:spacing w:val="5"/>
          <w:szCs w:val="28"/>
          <w:highlight w:val="none"/>
        </w:rPr>
        <w:t>平台技术服务采购项目。邀请符合本项目要求的比选申请人参加本次比选活动，现将有关事项公告如下：</w:t>
      </w:r>
    </w:p>
    <w:p w14:paraId="3C50841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b/>
          <w:bCs/>
          <w:color w:val="auto"/>
          <w:spacing w:val="5"/>
          <w:szCs w:val="28"/>
          <w:highlight w:val="none"/>
        </w:rPr>
        <w:t>一、比选项目名称：</w:t>
      </w:r>
      <w:r>
        <w:rPr>
          <w:rFonts w:hint="eastAsia" w:ascii="Times New Roman" w:hAnsi="Times New Roman" w:eastAsia="仿宋"/>
          <w:color w:val="auto"/>
          <w:spacing w:val="5"/>
          <w:szCs w:val="28"/>
          <w:highlight w:val="none"/>
        </w:rPr>
        <w:t>凉山州交通城市建设投资集团有限责任公司</w:t>
      </w:r>
      <w:r>
        <w:rPr>
          <w:rFonts w:hint="eastAsia" w:ascii="Times New Roman" w:hAnsi="Times New Roman" w:eastAsia="仿宋"/>
          <w:color w:val="auto"/>
          <w:spacing w:val="5"/>
          <w:szCs w:val="28"/>
          <w:highlight w:val="none"/>
          <w:lang w:val="en-US" w:eastAsia="zh-CN"/>
        </w:rPr>
        <w:t>移动办公</w:t>
      </w:r>
      <w:r>
        <w:rPr>
          <w:rFonts w:hint="eastAsia" w:ascii="Times New Roman" w:hAnsi="Times New Roman" w:eastAsia="仿宋"/>
          <w:color w:val="auto"/>
          <w:spacing w:val="5"/>
          <w:szCs w:val="28"/>
          <w:highlight w:val="none"/>
        </w:rPr>
        <w:t>平台技术服务采购项目</w:t>
      </w:r>
    </w:p>
    <w:p w14:paraId="17D9CC4F">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b/>
          <w:bCs/>
          <w:color w:val="auto"/>
          <w:spacing w:val="5"/>
          <w:szCs w:val="28"/>
          <w:highlight w:val="none"/>
        </w:rPr>
        <w:t>二、比选人：</w:t>
      </w:r>
      <w:r>
        <w:rPr>
          <w:rFonts w:hint="eastAsia" w:ascii="Times New Roman" w:hAnsi="Times New Roman" w:eastAsia="仿宋"/>
          <w:color w:val="auto"/>
          <w:spacing w:val="5"/>
          <w:szCs w:val="28"/>
          <w:highlight w:val="none"/>
        </w:rPr>
        <w:t>凉山州交通城市建设投资集团有限责任公司</w:t>
      </w:r>
    </w:p>
    <w:p w14:paraId="4E4FE992">
      <w:pPr>
        <w:spacing w:line="520" w:lineRule="exact"/>
        <w:ind w:firstLine="582" w:firstLineChars="200"/>
        <w:rPr>
          <w:rFonts w:hint="default"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rPr>
        <w:t>三、比选项目</w:t>
      </w:r>
      <w:r>
        <w:rPr>
          <w:rFonts w:hint="eastAsia" w:ascii="Times New Roman" w:hAnsi="Times New Roman" w:eastAsia="仿宋"/>
          <w:b/>
          <w:bCs/>
          <w:color w:val="auto"/>
          <w:spacing w:val="5"/>
          <w:szCs w:val="28"/>
          <w:highlight w:val="none"/>
          <w:lang w:val="en-US" w:eastAsia="zh-CN"/>
        </w:rPr>
        <w:t>内容</w:t>
      </w:r>
      <w:r>
        <w:rPr>
          <w:rFonts w:hint="eastAsia" w:ascii="Times New Roman" w:hAnsi="Times New Roman" w:eastAsia="仿宋"/>
          <w:b/>
          <w:bCs/>
          <w:color w:val="auto"/>
          <w:spacing w:val="5"/>
          <w:szCs w:val="28"/>
          <w:highlight w:val="none"/>
        </w:rPr>
        <w:t>：</w:t>
      </w:r>
      <w:r>
        <w:rPr>
          <w:rFonts w:hint="eastAsia" w:ascii="Times New Roman" w:hAnsi="Times New Roman" w:eastAsia="仿宋"/>
          <w:b w:val="0"/>
          <w:bCs w:val="0"/>
          <w:color w:val="auto"/>
          <w:spacing w:val="5"/>
          <w:szCs w:val="28"/>
          <w:highlight w:val="none"/>
          <w:lang w:val="en-US" w:eastAsia="zh-CN"/>
        </w:rPr>
        <w:t>详见第二章比选申请人须知</w:t>
      </w:r>
    </w:p>
    <w:p w14:paraId="26053CEE">
      <w:pPr>
        <w:spacing w:line="520" w:lineRule="exact"/>
        <w:ind w:firstLine="578" w:firstLineChars="200"/>
        <w:rPr>
          <w:rFonts w:ascii="Times New Roman" w:hAnsi="Times New Roman" w:eastAsia="仿宋"/>
          <w:color w:val="auto"/>
          <w:szCs w:val="28"/>
          <w:highlight w:val="none"/>
        </w:rPr>
      </w:pPr>
      <w:r>
        <w:rPr>
          <w:rFonts w:hint="eastAsia" w:ascii="Times New Roman" w:hAnsi="Times New Roman" w:eastAsia="仿宋"/>
          <w:b/>
          <w:bCs/>
          <w:color w:val="auto"/>
          <w:spacing w:val="4"/>
          <w:szCs w:val="28"/>
          <w:highlight w:val="none"/>
        </w:rPr>
        <w:t>四</w:t>
      </w:r>
      <w:r>
        <w:rPr>
          <w:rFonts w:ascii="Times New Roman" w:hAnsi="Times New Roman" w:eastAsia="仿宋"/>
          <w:b/>
          <w:bCs/>
          <w:color w:val="auto"/>
          <w:spacing w:val="4"/>
          <w:szCs w:val="28"/>
          <w:highlight w:val="none"/>
        </w:rPr>
        <w:t>、资格要求</w:t>
      </w:r>
      <w:r>
        <w:rPr>
          <w:rFonts w:ascii="Times New Roman" w:hAnsi="Times New Roman" w:eastAsia="仿宋"/>
          <w:color w:val="auto"/>
          <w:spacing w:val="4"/>
          <w:szCs w:val="28"/>
          <w:highlight w:val="none"/>
        </w:rPr>
        <w:t>：</w:t>
      </w:r>
    </w:p>
    <w:p w14:paraId="4F230C9B">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4.1须在中华人民共和国境内注册，具有独立承担民事责任的能力（若为分公司，需提供总公司相应授权说明）；</w:t>
      </w:r>
    </w:p>
    <w:p w14:paraId="329B38C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4.2履约能力（提供书面承诺）：</w:t>
      </w:r>
    </w:p>
    <w:p w14:paraId="570648F9">
      <w:pPr>
        <w:spacing w:line="520" w:lineRule="exact"/>
        <w:ind w:firstLine="678"/>
        <w:rPr>
          <w:rFonts w:hint="eastAsia" w:ascii="Times New Roman" w:hAnsi="Times New Roman" w:eastAsia="仿宋"/>
          <w:color w:val="auto"/>
          <w:spacing w:val="5"/>
          <w:szCs w:val="28"/>
          <w:highlight w:val="none"/>
          <w:lang w:eastAsia="zh-CN"/>
        </w:rPr>
      </w:pPr>
      <w:r>
        <w:rPr>
          <w:rFonts w:hint="eastAsia" w:ascii="Times New Roman" w:hAnsi="Times New Roman" w:eastAsia="仿宋"/>
          <w:color w:val="auto"/>
          <w:spacing w:val="5"/>
          <w:szCs w:val="28"/>
          <w:highlight w:val="none"/>
          <w:lang w:val="en-US" w:eastAsia="zh-CN"/>
        </w:rPr>
        <w:t>（1）</w:t>
      </w:r>
      <w:r>
        <w:rPr>
          <w:rFonts w:hint="eastAsia" w:ascii="Times New Roman" w:hAnsi="Times New Roman" w:eastAsia="仿宋"/>
          <w:color w:val="auto"/>
          <w:spacing w:val="5"/>
          <w:szCs w:val="28"/>
          <w:highlight w:val="none"/>
        </w:rPr>
        <w:t>具有履行合同所必须的专业技术</w:t>
      </w:r>
      <w:r>
        <w:rPr>
          <w:rFonts w:hint="eastAsia" w:ascii="Times New Roman" w:hAnsi="Times New Roman" w:eastAsia="仿宋"/>
          <w:color w:val="auto"/>
          <w:spacing w:val="5"/>
          <w:szCs w:val="28"/>
          <w:highlight w:val="none"/>
          <w:lang w:val="en-US" w:eastAsia="zh-CN"/>
        </w:rPr>
        <w:t>能力</w:t>
      </w:r>
      <w:r>
        <w:rPr>
          <w:rFonts w:hint="eastAsia" w:ascii="Times New Roman" w:hAnsi="Times New Roman" w:eastAsia="仿宋"/>
          <w:color w:val="auto"/>
          <w:spacing w:val="5"/>
          <w:szCs w:val="28"/>
          <w:highlight w:val="none"/>
          <w:lang w:eastAsia="zh-CN"/>
        </w:rPr>
        <w:t>；</w:t>
      </w:r>
    </w:p>
    <w:p w14:paraId="4F01403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lang w:val="en-US" w:eastAsia="zh-CN"/>
        </w:rPr>
        <w:t>（2）</w:t>
      </w:r>
      <w:r>
        <w:rPr>
          <w:rFonts w:hint="eastAsia" w:ascii="Times New Roman" w:hAnsi="Times New Roman" w:eastAsia="仿宋"/>
          <w:color w:val="auto"/>
          <w:spacing w:val="5"/>
          <w:szCs w:val="28"/>
          <w:highlight w:val="none"/>
        </w:rPr>
        <w:t>具有良好的商业信及履约记录。</w:t>
      </w:r>
    </w:p>
    <w:p w14:paraId="5CA90AFE">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4.3信誉要求（提供书面承诺）：</w:t>
      </w:r>
    </w:p>
    <w:p w14:paraId="7CD75EE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（1）被州级及以上主管部门取消比选项目所在地的投标资格且处于有效期内，不接受其比选。</w:t>
      </w:r>
    </w:p>
    <w:p w14:paraId="0737644E">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（2）被责令停业，暂扣或吊销执照，或吊销资质证书，不接受其比选。</w:t>
      </w:r>
    </w:p>
    <w:p w14:paraId="2AEADF78">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（3）进入清算程序，或被宣告破产，或其他丧失履约能力的情形，不接受其比选。</w:t>
      </w:r>
    </w:p>
    <w:p w14:paraId="4C77DE4D">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（4）在国家企业信用信息公示系统（http://www.gsxt.gov.cn/）中被列入严重违法失信企业名单，不接受其比选。</w:t>
      </w:r>
    </w:p>
    <w:p w14:paraId="15525D5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（5）在“信用中国”网站（http://www.creditchina.gov.cn/）中被列入失信被执行人名单，不接受其比选。</w:t>
      </w:r>
    </w:p>
    <w:p w14:paraId="1B105CB9">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w:t>
      </w:r>
    </w:p>
    <w:p w14:paraId="1D956397">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（7）近三年内，比选申请人和其法定代表人、拟委任的项目负责人在相关主管部门无不良信用记录。</w:t>
      </w:r>
    </w:p>
    <w:p w14:paraId="613A7539">
      <w:pPr>
        <w:spacing w:line="520" w:lineRule="exact"/>
        <w:ind w:firstLine="574" w:firstLineChars="200"/>
        <w:rPr>
          <w:rFonts w:ascii="Times New Roman" w:hAnsi="Times New Roman" w:eastAsia="仿宋"/>
          <w:b/>
          <w:bCs/>
          <w:color w:val="auto"/>
          <w:szCs w:val="28"/>
          <w:highlight w:val="none"/>
        </w:rPr>
      </w:pPr>
      <w:r>
        <w:rPr>
          <w:rFonts w:hint="eastAsia" w:ascii="Times New Roman" w:hAnsi="Times New Roman" w:eastAsia="仿宋"/>
          <w:b/>
          <w:bCs/>
          <w:color w:val="auto"/>
          <w:spacing w:val="3"/>
          <w:szCs w:val="28"/>
          <w:highlight w:val="none"/>
        </w:rPr>
        <w:t>五</w:t>
      </w:r>
      <w:r>
        <w:rPr>
          <w:rFonts w:ascii="Times New Roman" w:hAnsi="Times New Roman" w:eastAsia="仿宋"/>
          <w:b/>
          <w:bCs/>
          <w:color w:val="auto"/>
          <w:spacing w:val="3"/>
          <w:szCs w:val="28"/>
          <w:highlight w:val="none"/>
        </w:rPr>
        <w:t>、</w:t>
      </w:r>
      <w:r>
        <w:rPr>
          <w:rFonts w:ascii="Times New Roman" w:hAnsi="Times New Roman" w:eastAsia="仿宋"/>
          <w:b/>
          <w:bCs/>
          <w:color w:val="auto"/>
          <w:spacing w:val="8"/>
          <w:szCs w:val="28"/>
          <w:highlight w:val="none"/>
        </w:rPr>
        <w:t>本项目不接受联合体参与比选。</w:t>
      </w:r>
    </w:p>
    <w:p w14:paraId="2FEEAA36">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六</w:t>
      </w:r>
      <w:r>
        <w:rPr>
          <w:rFonts w:ascii="Times New Roman" w:hAnsi="Times New Roman" w:eastAsia="仿宋_GB2312"/>
          <w:b/>
          <w:color w:val="auto"/>
          <w:szCs w:val="28"/>
          <w:highlight w:val="none"/>
        </w:rPr>
        <w:t>、比选文件的获取</w:t>
      </w:r>
      <w:r>
        <w:rPr>
          <w:rFonts w:hint="eastAsia" w:ascii="Times New Roman" w:hAnsi="Times New Roman" w:eastAsia="仿宋_GB2312"/>
          <w:b/>
          <w:color w:val="auto"/>
          <w:szCs w:val="28"/>
          <w:highlight w:val="none"/>
        </w:rPr>
        <w:t>及公示</w:t>
      </w:r>
    </w:p>
    <w:p w14:paraId="2EAA9FB3">
      <w:pPr>
        <w:spacing w:line="480" w:lineRule="exact"/>
        <w:ind w:firstLine="560" w:firstLineChars="200"/>
        <w:rPr>
          <w:rFonts w:hint="eastAsia" w:ascii="仿宋" w:hAnsi="仿宋" w:eastAsia="仿宋" w:cs="仿宋"/>
          <w:color w:val="auto"/>
          <w:szCs w:val="28"/>
          <w:highlight w:val="none"/>
        </w:rPr>
      </w:pPr>
      <w:bookmarkStart w:id="6" w:name="_Toc184635065"/>
      <w:r>
        <w:rPr>
          <w:rFonts w:hint="eastAsia" w:ascii="仿宋" w:hAnsi="仿宋" w:eastAsia="仿宋" w:cs="仿宋"/>
          <w:color w:val="auto"/>
          <w:highlight w:val="none"/>
          <w:lang w:bidi="ar"/>
        </w:rPr>
        <w:t xml:space="preserve">6.1 凡有意参加比选者，请于 </w:t>
      </w:r>
      <w:r>
        <w:rPr>
          <w:rFonts w:hint="eastAsia" w:ascii="仿宋" w:hAnsi="仿宋" w:eastAsia="仿宋" w:cs="仿宋"/>
          <w:color w:val="auto"/>
          <w:highlight w:val="none"/>
          <w:u w:val="single"/>
          <w:lang w:bidi="ar"/>
        </w:rPr>
        <w:t>202</w:t>
      </w:r>
      <w:r>
        <w:rPr>
          <w:rFonts w:hint="eastAsia" w:ascii="仿宋" w:hAnsi="仿宋" w:eastAsia="仿宋" w:cs="仿宋"/>
          <w:color w:val="auto"/>
          <w:highlight w:val="none"/>
          <w:u w:val="single"/>
          <w:lang w:val="en-US" w:eastAsia="zh-CN" w:bidi="ar"/>
        </w:rPr>
        <w:t>6</w:t>
      </w:r>
      <w:r>
        <w:rPr>
          <w:rFonts w:hint="eastAsia" w:ascii="仿宋" w:hAnsi="仿宋" w:eastAsia="仿宋" w:cs="仿宋"/>
          <w:color w:val="auto"/>
          <w:highlight w:val="none"/>
          <w:u w:val="single"/>
          <w:lang w:bidi="ar"/>
        </w:rPr>
        <w:t xml:space="preserve"> </w:t>
      </w:r>
      <w:r>
        <w:rPr>
          <w:rFonts w:hint="eastAsia" w:ascii="仿宋" w:hAnsi="仿宋" w:eastAsia="仿宋" w:cs="仿宋"/>
          <w:color w:val="auto"/>
          <w:highlight w:val="none"/>
          <w:lang w:bidi="ar"/>
        </w:rPr>
        <w:t>年</w:t>
      </w:r>
      <w:r>
        <w:rPr>
          <w:rFonts w:hint="eastAsia" w:ascii="仿宋" w:hAnsi="仿宋" w:eastAsia="仿宋" w:cs="仿宋"/>
          <w:color w:val="auto"/>
          <w:highlight w:val="none"/>
          <w:u w:val="single"/>
          <w:lang w:val="en-US" w:eastAsia="zh-CN" w:bidi="ar"/>
        </w:rPr>
        <w:t xml:space="preserve"> 1 </w:t>
      </w:r>
      <w:r>
        <w:rPr>
          <w:rFonts w:hint="eastAsia" w:ascii="仿宋" w:hAnsi="仿宋" w:eastAsia="仿宋" w:cs="仿宋"/>
          <w:color w:val="auto"/>
          <w:highlight w:val="none"/>
          <w:lang w:bidi="ar"/>
        </w:rPr>
        <w:t>月</w:t>
      </w:r>
      <w:r>
        <w:rPr>
          <w:rFonts w:hint="eastAsia" w:ascii="仿宋" w:hAnsi="仿宋" w:eastAsia="仿宋" w:cs="仿宋"/>
          <w:color w:val="auto"/>
          <w:highlight w:val="none"/>
          <w:u w:val="single"/>
          <w:lang w:val="en-US" w:eastAsia="zh-CN" w:bidi="ar"/>
        </w:rPr>
        <w:t xml:space="preserve"> 23 </w:t>
      </w:r>
      <w:r>
        <w:rPr>
          <w:rFonts w:hint="eastAsia" w:ascii="仿宋" w:hAnsi="仿宋" w:eastAsia="仿宋" w:cs="仿宋"/>
          <w:color w:val="auto"/>
          <w:highlight w:val="none"/>
          <w:lang w:bidi="ar"/>
        </w:rPr>
        <w:t>日至比选截止日期在</w:t>
      </w:r>
      <w:r>
        <w:rPr>
          <w:rFonts w:hint="eastAsia" w:ascii="仿宋" w:hAnsi="仿宋" w:eastAsia="仿宋" w:cs="仿宋"/>
          <w:color w:val="auto"/>
          <w:highlight w:val="none"/>
          <w:lang w:bidi="ar"/>
        </w:rPr>
        <w:fldChar w:fldCharType="begin"/>
      </w:r>
      <w:r>
        <w:rPr>
          <w:rFonts w:hint="eastAsia" w:ascii="仿宋" w:hAnsi="仿宋" w:eastAsia="仿宋" w:cs="仿宋"/>
          <w:color w:val="auto"/>
          <w:highlight w:val="none"/>
          <w:lang w:bidi="ar"/>
        </w:rPr>
        <w:instrText xml:space="preserve"> HYPERLINK "http://gzw.lsz.gov.cn/）或凉山州国有交通投资发展集团有限责任公司（网址http:/lsjtjt.cn/）下载比选文件" </w:instrText>
      </w:r>
      <w:r>
        <w:rPr>
          <w:rFonts w:hint="eastAsia" w:ascii="仿宋" w:hAnsi="仿宋" w:eastAsia="仿宋" w:cs="仿宋"/>
          <w:color w:val="auto"/>
          <w:highlight w:val="none"/>
          <w:lang w:bidi="ar"/>
        </w:rPr>
        <w:fldChar w:fldCharType="separate"/>
      </w:r>
      <w:r>
        <w:rPr>
          <w:rFonts w:hint="eastAsia" w:ascii="仿宋" w:hAnsi="仿宋" w:eastAsia="仿宋" w:cs="仿宋"/>
          <w:color w:val="auto"/>
          <w:highlight w:val="none"/>
          <w:lang w:bidi="ar"/>
        </w:rPr>
        <w:t>凉山州交通城市建设投资集团有限责任公司网站（网址http://lsjtjt.cn/）下载比选文件</w:t>
      </w:r>
      <w:r>
        <w:rPr>
          <w:rFonts w:hint="eastAsia" w:ascii="仿宋" w:hAnsi="仿宋" w:eastAsia="仿宋" w:cs="仿宋"/>
          <w:color w:val="auto"/>
          <w:highlight w:val="none"/>
          <w:lang w:bidi="ar"/>
        </w:rPr>
        <w:fldChar w:fldCharType="end"/>
      </w:r>
      <w:r>
        <w:rPr>
          <w:rFonts w:hint="eastAsia" w:ascii="仿宋" w:hAnsi="仿宋" w:eastAsia="仿宋" w:cs="仿宋"/>
          <w:color w:val="auto"/>
          <w:szCs w:val="28"/>
          <w:highlight w:val="none"/>
        </w:rPr>
        <w:t>。</w:t>
      </w:r>
    </w:p>
    <w:p w14:paraId="46F12E5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6.2中标结果公示网站：凉山州交通城市建设投资集团有限责任公司网站（网址http://lsjtjt.cn/ ），公示期限：3日。</w:t>
      </w:r>
    </w:p>
    <w:p w14:paraId="0670F3DA">
      <w:pPr>
        <w:spacing w:line="480" w:lineRule="exact"/>
        <w:ind w:firstLine="562" w:firstLineChars="200"/>
        <w:jc w:val="left"/>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七、比选申请文件的递交</w:t>
      </w:r>
      <w:bookmarkEnd w:id="6"/>
      <w:r>
        <w:rPr>
          <w:rFonts w:hint="eastAsia" w:ascii="仿宋" w:hAnsi="仿宋" w:eastAsia="仿宋" w:cs="仿宋"/>
          <w:b/>
          <w:color w:val="auto"/>
          <w:szCs w:val="28"/>
          <w:highlight w:val="none"/>
        </w:rPr>
        <w:t>及相关事宜</w:t>
      </w:r>
    </w:p>
    <w:p w14:paraId="1FD991C6">
      <w:pPr>
        <w:keepNext w:val="0"/>
        <w:keepLines w:val="0"/>
        <w:pageBreakBefore w:val="0"/>
        <w:widowControl w:val="0"/>
        <w:kinsoku/>
        <w:wordWrap/>
        <w:overflowPunct/>
        <w:topLinePunct w:val="0"/>
        <w:autoSpaceDE/>
        <w:autoSpaceDN/>
        <w:bidi w:val="0"/>
        <w:adjustRightInd/>
        <w:snapToGrid/>
        <w:spacing w:line="480" w:lineRule="exact"/>
        <w:ind w:left="280" w:leftChars="100" w:firstLine="280" w:firstLineChars="1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7.1比选申请文件递交的截止时间（比选截止时间，下同）为:</w:t>
      </w:r>
      <w:r>
        <w:rPr>
          <w:rFonts w:hint="eastAsia" w:ascii="仿宋" w:hAnsi="仿宋" w:eastAsia="仿宋" w:cs="仿宋"/>
          <w:color w:val="auto"/>
          <w:szCs w:val="28"/>
          <w:highlight w:val="none"/>
          <w:u w:val="single"/>
        </w:rPr>
        <w:t>202</w:t>
      </w:r>
      <w:r>
        <w:rPr>
          <w:rFonts w:hint="eastAsia" w:ascii="仿宋" w:hAnsi="仿宋" w:eastAsia="仿宋" w:cs="仿宋"/>
          <w:color w:val="auto"/>
          <w:szCs w:val="28"/>
          <w:highlight w:val="none"/>
          <w:u w:val="single"/>
          <w:lang w:val="en-US" w:eastAsia="zh-CN"/>
        </w:rPr>
        <w:t>6</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u w:val="single"/>
          <w:lang w:val="en-US" w:eastAsia="zh-CN"/>
        </w:rPr>
        <w:t>1</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u w:val="single"/>
          <w:lang w:val="en-US" w:eastAsia="zh-CN"/>
        </w:rPr>
        <w:t xml:space="preserve">28 </w:t>
      </w:r>
      <w:r>
        <w:rPr>
          <w:rFonts w:hint="eastAsia" w:ascii="仿宋" w:hAnsi="仿宋" w:eastAsia="仿宋" w:cs="仿宋"/>
          <w:color w:val="auto"/>
          <w:szCs w:val="28"/>
          <w:highlight w:val="none"/>
        </w:rPr>
        <w:t>日</w:t>
      </w:r>
      <w:r>
        <w:rPr>
          <w:rFonts w:hint="eastAsia" w:ascii="仿宋" w:hAnsi="仿宋" w:eastAsia="仿宋" w:cs="仿宋"/>
          <w:color w:val="auto"/>
          <w:szCs w:val="28"/>
          <w:highlight w:val="none"/>
          <w:u w:val="single"/>
          <w:lang w:val="en-US" w:eastAsia="zh-CN"/>
        </w:rPr>
        <w:t>14</w:t>
      </w:r>
      <w:r>
        <w:rPr>
          <w:rFonts w:hint="eastAsia" w:ascii="仿宋" w:hAnsi="仿宋" w:eastAsia="仿宋" w:cs="仿宋"/>
          <w:color w:val="auto"/>
          <w:szCs w:val="28"/>
          <w:highlight w:val="none"/>
        </w:rPr>
        <w:t>时</w:t>
      </w:r>
      <w:r>
        <w:rPr>
          <w:rFonts w:hint="eastAsia" w:ascii="仿宋" w:hAnsi="仿宋" w:eastAsia="仿宋" w:cs="仿宋"/>
          <w:color w:val="auto"/>
          <w:szCs w:val="28"/>
          <w:highlight w:val="none"/>
          <w:u w:val="single"/>
          <w:lang w:val="en-US" w:eastAsia="zh-CN"/>
        </w:rPr>
        <w:t>30</w:t>
      </w:r>
      <w:r>
        <w:rPr>
          <w:rFonts w:hint="eastAsia" w:ascii="仿宋" w:hAnsi="仿宋" w:eastAsia="仿宋" w:cs="仿宋"/>
          <w:color w:val="auto"/>
          <w:szCs w:val="28"/>
          <w:highlight w:val="none"/>
        </w:rPr>
        <w:t>分，地点为:凉山州交通城市建设投资集团有限责任公司五楼会议室（西昌市长安东路53号邮政储蓄银行内）；</w:t>
      </w:r>
    </w:p>
    <w:p w14:paraId="73B2D8E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7.2 逾期送达的或者未送达指定地点的不按照比选文件要求密封的比选申请文件，比选人将予以拒收。</w:t>
      </w:r>
    </w:p>
    <w:p w14:paraId="16E30A81">
      <w:pPr>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7.3比选申请人代表应提供：</w:t>
      </w:r>
    </w:p>
    <w:p w14:paraId="79CC55F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（1）若为委托代理人（限1人）时应当提供：①授权委托书（原件）；②身份证（原件及复印件）。</w:t>
      </w:r>
    </w:p>
    <w:p w14:paraId="068BF144">
      <w:pPr>
        <w:spacing w:line="480" w:lineRule="exact"/>
        <w:ind w:firstLine="560" w:firstLineChars="200"/>
        <w:rPr>
          <w:rFonts w:hint="eastAsia" w:ascii="仿宋" w:hAnsi="仿宋" w:eastAsia="仿宋" w:cs="仿宋"/>
          <w:color w:val="auto"/>
          <w:highlight w:val="none"/>
        </w:rPr>
      </w:pPr>
      <w:r>
        <w:rPr>
          <w:rFonts w:hint="eastAsia" w:ascii="仿宋" w:hAnsi="仿宋" w:eastAsia="仿宋" w:cs="仿宋"/>
          <w:color w:val="auto"/>
          <w:szCs w:val="28"/>
          <w:highlight w:val="none"/>
        </w:rPr>
        <w:t>（2）若为法定代表人时应当提供：①法定代表人身份证明（原件）；②身份证（原件及复印件）。</w:t>
      </w:r>
    </w:p>
    <w:p w14:paraId="532B36D9">
      <w:pPr>
        <w:spacing w:line="520" w:lineRule="exact"/>
        <w:ind w:firstLine="562" w:firstLineChars="200"/>
        <w:rPr>
          <w:rFonts w:ascii="Times New Roman" w:hAnsi="Times New Roman" w:eastAsia="仿宋_GB2312"/>
          <w:b/>
          <w:color w:val="auto"/>
          <w:szCs w:val="28"/>
          <w:highlight w:val="none"/>
        </w:rPr>
      </w:pPr>
      <w:r>
        <w:rPr>
          <w:rFonts w:hint="eastAsia" w:ascii="Times New Roman" w:hAnsi="Times New Roman" w:eastAsia="仿宋_GB2312"/>
          <w:b/>
          <w:color w:val="auto"/>
          <w:szCs w:val="28"/>
          <w:highlight w:val="none"/>
        </w:rPr>
        <w:t>八</w:t>
      </w:r>
      <w:r>
        <w:rPr>
          <w:rFonts w:ascii="Times New Roman" w:hAnsi="Times New Roman" w:eastAsia="仿宋_GB2312"/>
          <w:b/>
          <w:color w:val="auto"/>
          <w:szCs w:val="28"/>
          <w:highlight w:val="none"/>
        </w:rPr>
        <w:t>、联系方式</w:t>
      </w:r>
    </w:p>
    <w:p w14:paraId="795B9E3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比选人：凉山州交通城市建设投资集团有限责任公司  </w:t>
      </w:r>
    </w:p>
    <w:p w14:paraId="0D739638">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3BB77E8E">
      <w:pPr>
        <w:spacing w:line="480" w:lineRule="exact"/>
        <w:ind w:firstLine="560" w:firstLineChars="200"/>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rPr>
        <w:t>联系人：</w:t>
      </w:r>
      <w:r>
        <w:rPr>
          <w:rFonts w:hint="eastAsia" w:ascii="仿宋" w:hAnsi="仿宋" w:eastAsia="仿宋" w:cs="仿宋"/>
          <w:color w:val="auto"/>
          <w:szCs w:val="28"/>
          <w:highlight w:val="none"/>
          <w:lang w:val="en-US" w:eastAsia="zh-CN"/>
        </w:rPr>
        <w:t>龙日牛</w:t>
      </w:r>
    </w:p>
    <w:p w14:paraId="274558C6">
      <w:pPr>
        <w:spacing w:line="480" w:lineRule="exact"/>
        <w:ind w:firstLine="560" w:firstLineChars="200"/>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联系电话：</w:t>
      </w:r>
      <w:r>
        <w:rPr>
          <w:rFonts w:hint="eastAsia" w:ascii="仿宋" w:hAnsi="仿宋" w:eastAsia="仿宋" w:cs="仿宋"/>
          <w:color w:val="auto"/>
          <w:szCs w:val="28"/>
          <w:highlight w:val="none"/>
          <w:lang w:val="en-US" w:eastAsia="zh-CN"/>
        </w:rPr>
        <w:t>18282861193</w:t>
      </w:r>
    </w:p>
    <w:p w14:paraId="63F9D91F">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代理机构：凉山交投工程规划设计管理有限公司 </w:t>
      </w:r>
    </w:p>
    <w:p w14:paraId="6D332ED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址：西昌市长安东路53号</w:t>
      </w:r>
    </w:p>
    <w:p w14:paraId="01A2C4E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联系人：伍女士</w:t>
      </w:r>
    </w:p>
    <w:p w14:paraId="3E951766">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联系电话：0834-6133013</w:t>
      </w:r>
    </w:p>
    <w:p w14:paraId="33085E10">
      <w:pPr>
        <w:pStyle w:val="2"/>
        <w:wordWrap w:val="0"/>
        <w:jc w:val="right"/>
        <w:rPr>
          <w:rFonts w:hint="default" w:eastAsia="仿宋_GB2312"/>
          <w:color w:val="auto"/>
          <w:highlight w:val="none"/>
          <w:lang w:val="en-US" w:eastAsia="zh-CN"/>
        </w:rPr>
      </w:pPr>
      <w:r>
        <w:rPr>
          <w:rFonts w:hint="eastAsia" w:ascii="Times New Roman" w:hAnsi="Times New Roman" w:eastAsia="仿宋_GB2312"/>
          <w:color w:val="auto"/>
          <w:szCs w:val="28"/>
          <w:highlight w:val="none"/>
          <w:lang w:val="en-US" w:eastAsia="zh-CN"/>
        </w:rPr>
        <w:t>2026年1月22日</w:t>
      </w:r>
    </w:p>
    <w:p w14:paraId="49A2FCCF">
      <w:pPr>
        <w:pStyle w:val="4"/>
        <w:pageBreakBefore/>
        <w:spacing w:before="0" w:after="0" w:line="480" w:lineRule="auto"/>
        <w:jc w:val="center"/>
        <w:rPr>
          <w:rFonts w:ascii="Times New Roman" w:hAnsi="Times New Roman" w:eastAsia="黑体"/>
          <w:b w:val="0"/>
          <w:color w:val="auto"/>
          <w:sz w:val="36"/>
          <w:szCs w:val="36"/>
          <w:highlight w:val="none"/>
        </w:rPr>
      </w:pPr>
      <w:bookmarkStart w:id="7" w:name="_Toc19230"/>
      <w:r>
        <w:rPr>
          <w:rFonts w:ascii="Times New Roman" w:hAnsi="Times New Roman" w:eastAsia="黑体"/>
          <w:b w:val="0"/>
          <w:color w:val="auto"/>
          <w:sz w:val="36"/>
          <w:szCs w:val="36"/>
          <w:highlight w:val="none"/>
        </w:rPr>
        <w:t>第二章  比选申请人须知</w:t>
      </w:r>
      <w:bookmarkEnd w:id="0"/>
      <w:bookmarkEnd w:id="1"/>
      <w:bookmarkEnd w:id="2"/>
      <w:bookmarkEnd w:id="3"/>
      <w:bookmarkEnd w:id="4"/>
      <w:bookmarkEnd w:id="7"/>
    </w:p>
    <w:p w14:paraId="170A881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rPr>
      </w:pPr>
      <w:r>
        <w:rPr>
          <w:rFonts w:hint="eastAsia" w:ascii="仿宋" w:hAnsi="仿宋" w:eastAsia="仿宋" w:cs="仿宋"/>
          <w:b/>
          <w:bCs/>
          <w:color w:val="auto"/>
          <w:spacing w:val="5"/>
          <w:szCs w:val="28"/>
          <w:highlight w:val="none"/>
        </w:rPr>
        <w:t>一、比选项目名称：</w:t>
      </w:r>
      <w:r>
        <w:rPr>
          <w:rFonts w:hint="eastAsia" w:ascii="仿宋" w:hAnsi="仿宋" w:eastAsia="仿宋" w:cs="仿宋"/>
          <w:color w:val="auto"/>
          <w:spacing w:val="5"/>
          <w:szCs w:val="28"/>
          <w:highlight w:val="none"/>
        </w:rPr>
        <w:t>凉山州交通城市建设投资集团有限责任公司</w:t>
      </w:r>
      <w:r>
        <w:rPr>
          <w:rFonts w:hint="eastAsia" w:ascii="仿宋" w:hAnsi="仿宋" w:eastAsia="仿宋" w:cs="仿宋"/>
          <w:color w:val="auto"/>
          <w:spacing w:val="5"/>
          <w:szCs w:val="28"/>
          <w:highlight w:val="none"/>
          <w:lang w:val="en-US" w:eastAsia="zh-CN"/>
        </w:rPr>
        <w:t>移动办公</w:t>
      </w:r>
      <w:r>
        <w:rPr>
          <w:rFonts w:hint="eastAsia" w:ascii="仿宋" w:hAnsi="仿宋" w:eastAsia="仿宋" w:cs="仿宋"/>
          <w:color w:val="auto"/>
          <w:spacing w:val="5"/>
          <w:szCs w:val="28"/>
          <w:highlight w:val="none"/>
        </w:rPr>
        <w:t>平台技术服务采购项目</w:t>
      </w:r>
    </w:p>
    <w:p w14:paraId="1760D5B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rPr>
      </w:pPr>
      <w:r>
        <w:rPr>
          <w:rFonts w:hint="eastAsia" w:ascii="仿宋" w:hAnsi="仿宋" w:eastAsia="仿宋" w:cs="仿宋"/>
          <w:b/>
          <w:bCs/>
          <w:color w:val="auto"/>
          <w:spacing w:val="5"/>
          <w:szCs w:val="28"/>
          <w:highlight w:val="none"/>
        </w:rPr>
        <w:t>二、比选人：</w:t>
      </w:r>
      <w:r>
        <w:rPr>
          <w:rFonts w:hint="eastAsia" w:ascii="仿宋" w:hAnsi="仿宋" w:eastAsia="仿宋" w:cs="仿宋"/>
          <w:color w:val="auto"/>
          <w:spacing w:val="5"/>
          <w:szCs w:val="28"/>
          <w:highlight w:val="none"/>
        </w:rPr>
        <w:t>凉山州交通城市建设投资集团有限责任公司</w:t>
      </w:r>
    </w:p>
    <w:p w14:paraId="29D6D691">
      <w:pPr>
        <w:spacing w:line="520" w:lineRule="exact"/>
        <w:ind w:firstLine="678"/>
        <w:outlineLvl w:val="1"/>
        <w:rPr>
          <w:rFonts w:hint="eastAsia" w:ascii="仿宋" w:hAnsi="仿宋" w:eastAsia="仿宋" w:cs="仿宋"/>
          <w:color w:val="auto"/>
          <w:sz w:val="24"/>
          <w:szCs w:val="24"/>
          <w:highlight w:val="none"/>
          <w:lang w:val="en-US"/>
        </w:rPr>
      </w:pPr>
      <w:r>
        <w:rPr>
          <w:rFonts w:hint="eastAsia" w:ascii="仿宋" w:hAnsi="仿宋" w:eastAsia="仿宋" w:cs="仿宋"/>
          <w:b/>
          <w:bCs/>
          <w:color w:val="auto"/>
          <w:spacing w:val="5"/>
          <w:szCs w:val="28"/>
          <w:highlight w:val="none"/>
          <w:lang w:val="en-US" w:eastAsia="zh-CN"/>
        </w:rPr>
        <w:t>三、</w:t>
      </w:r>
      <w:r>
        <w:rPr>
          <w:rFonts w:hint="eastAsia" w:ascii="仿宋" w:hAnsi="仿宋" w:eastAsia="仿宋" w:cs="仿宋"/>
          <w:b/>
          <w:bCs/>
          <w:color w:val="auto"/>
          <w:spacing w:val="5"/>
          <w:szCs w:val="28"/>
          <w:highlight w:val="none"/>
        </w:rPr>
        <w:t>比选项目</w:t>
      </w:r>
      <w:r>
        <w:rPr>
          <w:rFonts w:hint="eastAsia" w:ascii="仿宋" w:hAnsi="仿宋" w:eastAsia="仿宋" w:cs="仿宋"/>
          <w:b/>
          <w:bCs/>
          <w:color w:val="auto"/>
          <w:spacing w:val="5"/>
          <w:szCs w:val="28"/>
          <w:highlight w:val="none"/>
          <w:lang w:val="en-US" w:eastAsia="zh-CN"/>
        </w:rPr>
        <w:t>内容</w:t>
      </w:r>
      <w:r>
        <w:rPr>
          <w:rFonts w:hint="eastAsia" w:ascii="仿宋" w:hAnsi="仿宋" w:eastAsia="仿宋" w:cs="仿宋"/>
          <w:b/>
          <w:bCs/>
          <w:color w:val="auto"/>
          <w:spacing w:val="5"/>
          <w:szCs w:val="28"/>
          <w:highlight w:val="none"/>
        </w:rPr>
        <w:t>：</w:t>
      </w:r>
      <w:r>
        <w:rPr>
          <w:rFonts w:hint="eastAsia" w:ascii="仿宋" w:hAnsi="仿宋" w:eastAsia="仿宋" w:cs="仿宋"/>
          <w:color w:val="auto"/>
          <w:spacing w:val="5"/>
          <w:szCs w:val="28"/>
          <w:highlight w:val="none"/>
          <w:lang w:val="en-US" w:eastAsia="zh-CN"/>
        </w:rPr>
        <w:t>建设移动办公平台系统（包含服务期间新增企业（如有）及比选人要求新增工作内容），具体内容要求如下：</w:t>
      </w:r>
    </w:p>
    <w:tbl>
      <w:tblPr>
        <w:tblStyle w:val="26"/>
        <w:tblW w:w="4887" w:type="pct"/>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8"/>
        <w:gridCol w:w="6518"/>
      </w:tblGrid>
      <w:tr w14:paraId="6522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tcBorders>
              <w:top w:val="single" w:color="000000" w:sz="4" w:space="0"/>
              <w:left w:val="single" w:color="000000" w:sz="4" w:space="0"/>
              <w:bottom w:val="single" w:color="000000" w:sz="4" w:space="0"/>
              <w:right w:val="single" w:color="000000" w:sz="4" w:space="0"/>
            </w:tcBorders>
            <w:noWrap/>
            <w:vAlign w:val="center"/>
          </w:tcPr>
          <w:p w14:paraId="0C2577D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工作项目</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18152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工作内容</w:t>
            </w:r>
          </w:p>
        </w:tc>
      </w:tr>
      <w:tr w14:paraId="6383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nil"/>
              <w:left w:val="single" w:color="000000" w:sz="4" w:space="0"/>
              <w:bottom w:val="single" w:color="000000" w:sz="4" w:space="0"/>
              <w:right w:val="single" w:color="000000" w:sz="4" w:space="0"/>
            </w:tcBorders>
            <w:noWrap/>
            <w:vAlign w:val="center"/>
          </w:tcPr>
          <w:p w14:paraId="03C503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系统办公基础平台</w:t>
            </w:r>
          </w:p>
        </w:tc>
        <w:tc>
          <w:tcPr>
            <w:tcW w:w="3475" w:type="pct"/>
            <w:tcBorders>
              <w:top w:val="nil"/>
              <w:left w:val="single" w:color="000000" w:sz="4" w:space="0"/>
              <w:bottom w:val="single" w:color="000000" w:sz="4" w:space="0"/>
              <w:right w:val="single" w:color="000000" w:sz="4" w:space="0"/>
            </w:tcBorders>
            <w:noWrap/>
            <w:vAlign w:val="center"/>
          </w:tcPr>
          <w:p w14:paraId="3FA0EB2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基础软件平台</w:t>
            </w:r>
          </w:p>
        </w:tc>
      </w:tr>
      <w:tr w14:paraId="5513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4628F0F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AF81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企业个性化门户</w:t>
            </w:r>
          </w:p>
        </w:tc>
      </w:tr>
      <w:tr w14:paraId="627E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76AD7B7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32CDC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流程审批引擎</w:t>
            </w:r>
          </w:p>
        </w:tc>
      </w:tr>
      <w:tr w14:paraId="2B1A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08A9755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A1F571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门户管理引擎</w:t>
            </w:r>
          </w:p>
        </w:tc>
      </w:tr>
      <w:tr w14:paraId="0D88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0C46E5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B545FF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栏目自建引擎</w:t>
            </w:r>
          </w:p>
        </w:tc>
      </w:tr>
      <w:tr w14:paraId="1B1D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F67267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C0AD29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日程管理</w:t>
            </w:r>
          </w:p>
        </w:tc>
      </w:tr>
      <w:tr w14:paraId="7F66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C5556A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56B2AE3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工作统计/办公中心</w:t>
            </w:r>
          </w:p>
          <w:p w14:paraId="72BD9F0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个人待办、已办，待阅，已阅</w:t>
            </w:r>
          </w:p>
        </w:tc>
      </w:tr>
      <w:tr w14:paraId="70DC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298448C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AD3E4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权限管理引擎</w:t>
            </w:r>
          </w:p>
        </w:tc>
      </w:tr>
      <w:tr w14:paraId="5341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2CC18CC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705CFC4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业务流程模版部署（出差管理，办公用品，合同管理，工程管理，投标管理，用印管理，综合管理，请假管理，报销申请，费用管理）</w:t>
            </w:r>
          </w:p>
        </w:tc>
      </w:tr>
      <w:tr w14:paraId="50B1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nil"/>
              <w:left w:val="single" w:color="000000" w:sz="4" w:space="0"/>
              <w:bottom w:val="single" w:color="000000" w:sz="4" w:space="0"/>
              <w:right w:val="single" w:color="000000" w:sz="4" w:space="0"/>
            </w:tcBorders>
            <w:noWrap/>
            <w:vAlign w:val="center"/>
          </w:tcPr>
          <w:p w14:paraId="5BD24DC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D3C4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系统设置</w:t>
            </w:r>
          </w:p>
        </w:tc>
      </w:tr>
      <w:tr w14:paraId="3118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72DB7B3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统一门户定制</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670CC8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登录页面改造</w:t>
            </w:r>
          </w:p>
        </w:tc>
      </w:tr>
      <w:tr w14:paraId="7A41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61AA53A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41320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系统首页改造</w:t>
            </w:r>
          </w:p>
        </w:tc>
      </w:tr>
      <w:tr w14:paraId="27B6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5A7412B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公文定制</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F153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分管领导签发流程</w:t>
            </w:r>
          </w:p>
        </w:tc>
      </w:tr>
      <w:tr w14:paraId="2DC8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38EE23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4CF12F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总经理签发流程</w:t>
            </w:r>
          </w:p>
        </w:tc>
      </w:tr>
      <w:tr w14:paraId="66A9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F090A7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AA5D8A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党委书记、董事长签发流程</w:t>
            </w:r>
          </w:p>
        </w:tc>
      </w:tr>
      <w:tr w14:paraId="2042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36A86C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07C0DB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自由发文流程</w:t>
            </w:r>
          </w:p>
        </w:tc>
      </w:tr>
      <w:tr w14:paraId="5365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6F4D75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96C0A6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发文审批流程</w:t>
            </w:r>
          </w:p>
        </w:tc>
      </w:tr>
      <w:tr w14:paraId="653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0D3AA0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3264B4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收文审批流程</w:t>
            </w:r>
          </w:p>
        </w:tc>
      </w:tr>
      <w:tr w14:paraId="3024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ABC3E2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CD3376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党务收文流程</w:t>
            </w:r>
          </w:p>
        </w:tc>
      </w:tr>
      <w:tr w14:paraId="2CD3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128DB7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9232E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并发阅知流程</w:t>
            </w:r>
          </w:p>
        </w:tc>
      </w:tr>
      <w:tr w14:paraId="4DDD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CFDE64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0117BE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加签功能改造（源码级修改）</w:t>
            </w:r>
          </w:p>
        </w:tc>
      </w:tr>
      <w:tr w14:paraId="457A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90B6BF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736282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公文编辑器功能改造</w:t>
            </w:r>
          </w:p>
        </w:tc>
      </w:tr>
      <w:tr w14:paraId="6B1E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nil"/>
              <w:right w:val="single" w:color="000000" w:sz="4" w:space="0"/>
            </w:tcBorders>
            <w:noWrap w:val="0"/>
            <w:vAlign w:val="center"/>
          </w:tcPr>
          <w:p w14:paraId="21CF028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加班请假管理</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6A1628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请休假流程</w:t>
            </w:r>
          </w:p>
        </w:tc>
      </w:tr>
      <w:tr w14:paraId="58E1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4971FF24">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4FE25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加班申请</w:t>
            </w:r>
          </w:p>
        </w:tc>
      </w:tr>
      <w:tr w14:paraId="01EF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7BC43CA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57FF2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分公司班子里领导请假流程</w:t>
            </w:r>
          </w:p>
        </w:tc>
      </w:tr>
      <w:tr w14:paraId="0CD6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1F6C1E0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5B743A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高管副职请假流程</w:t>
            </w:r>
          </w:p>
        </w:tc>
      </w:tr>
      <w:tr w14:paraId="7880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nil"/>
              <w:right w:val="single" w:color="000000" w:sz="4" w:space="0"/>
            </w:tcBorders>
            <w:noWrap w:val="0"/>
            <w:vAlign w:val="center"/>
          </w:tcPr>
          <w:p w14:paraId="3DEE6DC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交投集团</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综合管理</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575321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签报审批表</w:t>
            </w:r>
          </w:p>
        </w:tc>
      </w:tr>
      <w:tr w14:paraId="2D0E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043772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239C40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出差审批表</w:t>
            </w:r>
          </w:p>
        </w:tc>
      </w:tr>
      <w:tr w14:paraId="3F60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0A24919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9998C5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会议室申请</w:t>
            </w:r>
          </w:p>
        </w:tc>
      </w:tr>
      <w:tr w14:paraId="798B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39DE3E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71412F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用车审批表</w:t>
            </w:r>
          </w:p>
        </w:tc>
      </w:tr>
      <w:tr w14:paraId="7FCC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1407515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2EA6C2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车辆维修审批表</w:t>
            </w:r>
          </w:p>
        </w:tc>
      </w:tr>
      <w:tr w14:paraId="0DE9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6DC0C24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7E142B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借款审批表</w:t>
            </w:r>
          </w:p>
        </w:tc>
      </w:tr>
      <w:tr w14:paraId="64030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263E375D">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D32A66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其他事项审批表</w:t>
            </w:r>
          </w:p>
        </w:tc>
      </w:tr>
      <w:tr w14:paraId="22CD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nil"/>
              <w:right w:val="single" w:color="000000" w:sz="4" w:space="0"/>
            </w:tcBorders>
            <w:noWrap w:val="0"/>
            <w:vAlign w:val="center"/>
          </w:tcPr>
          <w:p w14:paraId="347857D1">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160E53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行政用章流程</w:t>
            </w:r>
          </w:p>
        </w:tc>
      </w:tr>
      <w:tr w14:paraId="043B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783DDE1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建设公司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2E0F9C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党支部发文流程</w:t>
            </w:r>
          </w:p>
        </w:tc>
      </w:tr>
      <w:tr w14:paraId="3615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636D06F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AD44F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董事总经理发文流程</w:t>
            </w:r>
          </w:p>
        </w:tc>
      </w:tr>
      <w:tr w14:paraId="01A6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877CE6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1FD66B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分管领导发文流程</w:t>
            </w:r>
          </w:p>
        </w:tc>
      </w:tr>
      <w:tr w14:paraId="7071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36CBA0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FACDE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5939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630076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C2ED46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3AA5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7A4EED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1F63A8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会议室申请</w:t>
            </w:r>
          </w:p>
        </w:tc>
      </w:tr>
      <w:tr w14:paraId="2143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72DBD3EA">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741F13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出差审批表</w:t>
            </w:r>
          </w:p>
        </w:tc>
      </w:tr>
      <w:tr w14:paraId="5BCC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2D1597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27D973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签报审批表</w:t>
            </w:r>
          </w:p>
        </w:tc>
      </w:tr>
      <w:tr w14:paraId="34A1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E20BD8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B15C7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车辆使用申请单</w:t>
            </w:r>
          </w:p>
        </w:tc>
      </w:tr>
      <w:tr w14:paraId="3436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5D7C98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F86FC0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部门用印流程</w:t>
            </w:r>
          </w:p>
        </w:tc>
      </w:tr>
      <w:tr w14:paraId="20FD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1CF133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1B60E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项目用印流程</w:t>
            </w:r>
          </w:p>
        </w:tc>
      </w:tr>
      <w:tr w14:paraId="74B8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E3681C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EF8D47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请假管理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员工请休假流程</w:t>
            </w:r>
          </w:p>
        </w:tc>
      </w:tr>
      <w:tr w14:paraId="0F35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F8FD0E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6AFA0F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请假管理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中层管理人员及项目班子成员请休假流程</w:t>
            </w:r>
          </w:p>
        </w:tc>
      </w:tr>
      <w:tr w14:paraId="4FED7B3D">
        <w:tblPrEx>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034CCAF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西运公司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B15B42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分管领导签发流程</w:t>
            </w:r>
          </w:p>
        </w:tc>
      </w:tr>
      <w:tr w14:paraId="2452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AC7010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0514B3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总经理签发流程</w:t>
            </w:r>
          </w:p>
        </w:tc>
      </w:tr>
      <w:tr w14:paraId="5666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A145375">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E73D99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董事长签发流程</w:t>
            </w:r>
          </w:p>
        </w:tc>
      </w:tr>
      <w:tr w14:paraId="55F1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24D7010">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0760D2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5758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59041F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403607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收文（请示、报告上传这里）</w:t>
            </w:r>
          </w:p>
        </w:tc>
      </w:tr>
      <w:tr w14:paraId="4DA4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06E6B50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城乡发展公司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EB42FB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发文审批流程</w:t>
            </w:r>
          </w:p>
        </w:tc>
      </w:tr>
      <w:tr w14:paraId="1B00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B60711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2F726E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4914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32792DB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置业公司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879ECD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发文审批流程</w:t>
            </w:r>
          </w:p>
        </w:tc>
      </w:tr>
      <w:tr w14:paraId="3D40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542417EC">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AF992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706F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387BF13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3FB844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党建收文流程</w:t>
            </w:r>
          </w:p>
        </w:tc>
      </w:tr>
      <w:tr w14:paraId="26F2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5385F0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规划公司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583F21B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总经理发文流程</w:t>
            </w:r>
          </w:p>
        </w:tc>
      </w:tr>
      <w:tr w14:paraId="0B08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5D46D6">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70782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支部书记发文流程</w:t>
            </w:r>
          </w:p>
        </w:tc>
      </w:tr>
      <w:tr w14:paraId="30A0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492FF8">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34CB18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自由发文流程</w:t>
            </w:r>
          </w:p>
        </w:tc>
      </w:tr>
      <w:tr w14:paraId="017B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CC1AE">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13853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0DD8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E9EB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314476D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出差审批表</w:t>
            </w:r>
          </w:p>
        </w:tc>
      </w:tr>
      <w:tr w14:paraId="3DCB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45D4D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7375617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bidi="ar"/>
              </w:rPr>
              <w:t>综合管理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合同用印审签单</w:t>
            </w:r>
          </w:p>
        </w:tc>
      </w:tr>
      <w:tr w14:paraId="0DE8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55FECFE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机场公司</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EAE4A8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公文管理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公文阅知流程</w:t>
            </w:r>
          </w:p>
        </w:tc>
      </w:tr>
      <w:tr w14:paraId="4C34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9E7887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F08CF4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签报审批表</w:t>
            </w:r>
          </w:p>
        </w:tc>
      </w:tr>
      <w:tr w14:paraId="32397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1E744E5F">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31C372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出差审批表</w:t>
            </w:r>
          </w:p>
        </w:tc>
      </w:tr>
      <w:tr w14:paraId="4B1F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C551723">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198716D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借款审批表</w:t>
            </w:r>
          </w:p>
        </w:tc>
      </w:tr>
      <w:tr w14:paraId="77B5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48B85C67">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49E81B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sz w:val="24"/>
                <w:szCs w:val="24"/>
                <w:highlight w:val="none"/>
              </w:rPr>
              <w:t>综合管理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kern w:val="0"/>
                <w:sz w:val="24"/>
                <w:szCs w:val="24"/>
                <w:highlight w:val="none"/>
                <w:lang w:bidi="ar"/>
              </w:rPr>
              <w:t>其他事项审批表</w:t>
            </w:r>
          </w:p>
        </w:tc>
      </w:tr>
      <w:tr w14:paraId="55C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04B290B2">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04E49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请假管理</w:t>
            </w:r>
            <w:r>
              <w:rPr>
                <w:rFonts w:hint="eastAsia" w:ascii="仿宋" w:hAnsi="仿宋" w:eastAsia="仿宋" w:cs="仿宋"/>
                <w:color w:val="auto"/>
                <w:sz w:val="24"/>
                <w:szCs w:val="24"/>
                <w:highlight w:val="none"/>
                <w:lang w:val="en-US"/>
              </w:rPr>
              <w:t>-</w:t>
            </w:r>
            <w:r>
              <w:rPr>
                <w:rFonts w:hint="eastAsia" w:ascii="仿宋" w:hAnsi="仿宋" w:eastAsia="仿宋" w:cs="仿宋"/>
                <w:color w:val="auto"/>
                <w:sz w:val="24"/>
                <w:szCs w:val="24"/>
                <w:highlight w:val="none"/>
              </w:rPr>
              <w:t>分公司领导班子请假流程</w:t>
            </w:r>
          </w:p>
        </w:tc>
      </w:tr>
      <w:tr w14:paraId="1F87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2BCF6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易路通公司</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63E39B9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党委书记董事长签发流程</w:t>
            </w:r>
          </w:p>
        </w:tc>
      </w:tr>
      <w:tr w14:paraId="6A90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B6B79">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07CA795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公文管理</w:t>
            </w:r>
            <w:r>
              <w:rPr>
                <w:rFonts w:hint="eastAsia" w:ascii="仿宋" w:hAnsi="仿宋" w:eastAsia="仿宋" w:cs="仿宋"/>
                <w:color w:val="auto"/>
                <w:kern w:val="0"/>
                <w:sz w:val="24"/>
                <w:szCs w:val="24"/>
                <w:highlight w:val="none"/>
                <w:lang w:val="en-US" w:bidi="ar"/>
              </w:rPr>
              <w:t>-</w:t>
            </w:r>
            <w:r>
              <w:rPr>
                <w:rFonts w:hint="eastAsia" w:ascii="仿宋" w:hAnsi="仿宋" w:eastAsia="仿宋" w:cs="仿宋"/>
                <w:color w:val="auto"/>
                <w:kern w:val="0"/>
                <w:sz w:val="24"/>
                <w:szCs w:val="24"/>
                <w:highlight w:val="none"/>
                <w:lang w:bidi="ar"/>
              </w:rPr>
              <w:t>收文审批流程</w:t>
            </w:r>
          </w:p>
        </w:tc>
      </w:tr>
      <w:tr w14:paraId="72C7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5034A02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会议管理</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44ECB83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会议室管理</w:t>
            </w:r>
          </w:p>
          <w:p w14:paraId="1D70DD2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预订会议</w:t>
            </w:r>
          </w:p>
          <w:p w14:paraId="2A78373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二维码签到</w:t>
            </w:r>
          </w:p>
        </w:tc>
      </w:tr>
      <w:tr w14:paraId="610F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47AE46E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文档中心</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67DB91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4"/>
                <w:szCs w:val="24"/>
                <w:highlight w:val="none"/>
                <w:lang w:val="en-US" w:bidi="ar"/>
              </w:rPr>
            </w:pPr>
            <w:r>
              <w:rPr>
                <w:rFonts w:hint="eastAsia" w:ascii="仿宋" w:hAnsi="仿宋" w:eastAsia="仿宋" w:cs="仿宋"/>
                <w:color w:val="auto"/>
                <w:kern w:val="0"/>
                <w:sz w:val="24"/>
                <w:szCs w:val="24"/>
                <w:highlight w:val="none"/>
                <w:lang w:val="en-US" w:eastAsia="zh-CN" w:bidi="ar"/>
              </w:rPr>
              <w:t>个人文件点对点分享</w:t>
            </w:r>
          </w:p>
          <w:p w14:paraId="2D2BAA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企业文件共享区</w:t>
            </w:r>
          </w:p>
        </w:tc>
      </w:tr>
      <w:tr w14:paraId="780B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restart"/>
            <w:tcBorders>
              <w:top w:val="single" w:color="000000" w:sz="4" w:space="0"/>
              <w:left w:val="single" w:color="000000" w:sz="4" w:space="0"/>
              <w:bottom w:val="single" w:color="000000" w:sz="4" w:space="0"/>
              <w:right w:val="single" w:color="000000" w:sz="4" w:space="0"/>
            </w:tcBorders>
            <w:noWrap/>
            <w:vAlign w:val="center"/>
          </w:tcPr>
          <w:p w14:paraId="22F66C4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文化建设</w:t>
            </w: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6E6A4C4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制度文件</w:t>
            </w:r>
          </w:p>
        </w:tc>
      </w:tr>
      <w:tr w14:paraId="176A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1524" w:type="pct"/>
            <w:vMerge w:val="continue"/>
            <w:tcBorders>
              <w:top w:val="single" w:color="000000" w:sz="4" w:space="0"/>
              <w:left w:val="single" w:color="000000" w:sz="4" w:space="0"/>
              <w:bottom w:val="single" w:color="000000" w:sz="4" w:space="0"/>
              <w:right w:val="single" w:color="000000" w:sz="4" w:space="0"/>
            </w:tcBorders>
            <w:noWrap/>
            <w:vAlign w:val="center"/>
          </w:tcPr>
          <w:p w14:paraId="23F965BB">
            <w:pPr>
              <w:keepNext w:val="0"/>
              <w:keepLines w:val="0"/>
              <w:suppressLineNumbers w:val="0"/>
              <w:spacing w:before="0" w:beforeAutospacing="0" w:after="0" w:afterAutospacing="0"/>
              <w:ind w:left="0" w:right="0"/>
              <w:rPr>
                <w:rFonts w:hint="eastAsia" w:ascii="仿宋" w:hAnsi="仿宋" w:eastAsia="仿宋" w:cs="仿宋"/>
                <w:color w:val="auto"/>
                <w:sz w:val="20"/>
                <w:szCs w:val="20"/>
                <w:highlight w:val="none"/>
              </w:rPr>
            </w:pPr>
          </w:p>
        </w:tc>
        <w:tc>
          <w:tcPr>
            <w:tcW w:w="3475" w:type="pct"/>
            <w:tcBorders>
              <w:top w:val="single" w:color="000000" w:sz="4" w:space="0"/>
              <w:left w:val="single" w:color="000000" w:sz="4" w:space="0"/>
              <w:bottom w:val="single" w:color="000000" w:sz="4" w:space="0"/>
              <w:right w:val="single" w:color="000000" w:sz="4" w:space="0"/>
            </w:tcBorders>
            <w:noWrap/>
            <w:vAlign w:val="center"/>
          </w:tcPr>
          <w:p w14:paraId="23E3751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通知与公告</w:t>
            </w:r>
          </w:p>
        </w:tc>
      </w:tr>
      <w:tr w14:paraId="5D48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524" w:type="pct"/>
            <w:tcBorders>
              <w:top w:val="single" w:color="000000" w:sz="4" w:space="0"/>
              <w:left w:val="single" w:color="000000" w:sz="4" w:space="0"/>
              <w:bottom w:val="single" w:color="000000" w:sz="4" w:space="0"/>
              <w:right w:val="single" w:color="000000" w:sz="4" w:space="0"/>
            </w:tcBorders>
            <w:noWrap w:val="0"/>
            <w:vAlign w:val="center"/>
          </w:tcPr>
          <w:p w14:paraId="6047AC1F">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bidi="ar"/>
              </w:rPr>
              <w:t>移动端</w:t>
            </w:r>
          </w:p>
        </w:tc>
        <w:tc>
          <w:tcPr>
            <w:tcW w:w="3475" w:type="pct"/>
            <w:tcBorders>
              <w:top w:val="single" w:color="000000" w:sz="4" w:space="0"/>
              <w:left w:val="single" w:color="000000" w:sz="4" w:space="0"/>
              <w:bottom w:val="single" w:color="000000" w:sz="4" w:space="0"/>
              <w:right w:val="single" w:color="000000" w:sz="4" w:space="0"/>
            </w:tcBorders>
            <w:noWrap w:val="0"/>
            <w:vAlign w:val="center"/>
          </w:tcPr>
          <w:p w14:paraId="46E12A8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bidi="ar"/>
              </w:rPr>
              <w:t>个性化定制安卓app</w:t>
            </w:r>
          </w:p>
        </w:tc>
      </w:tr>
    </w:tbl>
    <w:p w14:paraId="5E3CB8B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outlineLvl w:val="1"/>
        <w:rPr>
          <w:rFonts w:hint="eastAsia" w:ascii="仿宋" w:hAnsi="仿宋" w:eastAsia="仿宋" w:cs="仿宋"/>
          <w:b/>
          <w:bCs/>
          <w:color w:val="auto"/>
          <w:spacing w:val="5"/>
          <w:szCs w:val="28"/>
          <w:highlight w:val="none"/>
        </w:rPr>
      </w:pPr>
      <w:r>
        <w:rPr>
          <w:rFonts w:hint="eastAsia" w:ascii="仿宋" w:hAnsi="仿宋" w:eastAsia="仿宋" w:cs="仿宋"/>
          <w:b/>
          <w:bCs/>
          <w:color w:val="auto"/>
          <w:spacing w:val="5"/>
          <w:szCs w:val="28"/>
          <w:highlight w:val="none"/>
          <w:lang w:val="en-US" w:eastAsia="zh-CN"/>
        </w:rPr>
        <w:t>四</w:t>
      </w:r>
      <w:r>
        <w:rPr>
          <w:rFonts w:hint="eastAsia" w:ascii="仿宋" w:hAnsi="仿宋" w:eastAsia="仿宋" w:cs="仿宋"/>
          <w:b/>
          <w:bCs/>
          <w:color w:val="auto"/>
          <w:spacing w:val="5"/>
          <w:szCs w:val="28"/>
          <w:highlight w:val="none"/>
        </w:rPr>
        <w:t>、比选项目要求：</w:t>
      </w:r>
    </w:p>
    <w:p w14:paraId="5CF23FB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rPr>
      </w:pPr>
      <w:bookmarkStart w:id="8" w:name="_Toc217814019"/>
      <w:r>
        <w:rPr>
          <w:rFonts w:hint="eastAsia" w:ascii="仿宋" w:hAnsi="仿宋" w:eastAsia="仿宋" w:cs="仿宋"/>
          <w:color w:val="auto"/>
          <w:spacing w:val="5"/>
          <w:szCs w:val="28"/>
          <w:highlight w:val="none"/>
          <w:lang w:eastAsia="zh-CN"/>
        </w:rPr>
        <w:t>（一）移动办公平台</w:t>
      </w:r>
      <w:bookmarkEnd w:id="8"/>
    </w:p>
    <w:p w14:paraId="5C7F7BA3">
      <w:pPr>
        <w:spacing w:line="480" w:lineRule="exact"/>
        <w:ind w:firstLine="560" w:firstLineChars="200"/>
        <w:rPr>
          <w:rFonts w:hint="eastAsia" w:ascii="仿宋" w:hAnsi="仿宋" w:eastAsia="仿宋" w:cs="仿宋"/>
          <w:color w:val="auto"/>
          <w:szCs w:val="28"/>
          <w:highlight w:val="none"/>
          <w:lang w:val="en-US"/>
        </w:rPr>
      </w:pPr>
      <w:r>
        <w:rPr>
          <w:rFonts w:hint="eastAsia" w:ascii="仿宋" w:hAnsi="仿宋" w:eastAsia="仿宋" w:cs="仿宋"/>
          <w:color w:val="auto"/>
          <w:szCs w:val="28"/>
          <w:highlight w:val="none"/>
          <w:lang w:val="en-US" w:eastAsia="zh-CN"/>
        </w:rPr>
        <w:t>1、基于“凉山交城集团”组织、用户、权限体系，实现系统业务流程自由定制，实现电子公文流转、事务审批、移动审批等功能，并能与表单定制相结合，实现基本信息、定制表格、材料附件等信息填报，形成模块化应用。支持流程发布与撤销，历史版本管理。支持流程实例调度，包括基本信息修改、流程回收、节点追加、调度至任意环节、强制办结等功能等。</w:t>
      </w:r>
    </w:p>
    <w:p w14:paraId="32D6EC79">
      <w:pPr>
        <w:spacing w:line="480" w:lineRule="exact"/>
        <w:ind w:firstLine="560" w:firstLineChars="200"/>
        <w:rPr>
          <w:rFonts w:hint="eastAsia" w:ascii="仿宋" w:hAnsi="仿宋" w:eastAsia="仿宋" w:cs="仿宋"/>
          <w:color w:val="auto"/>
          <w:szCs w:val="28"/>
          <w:highlight w:val="none"/>
          <w:lang w:val="en-US"/>
        </w:rPr>
      </w:pPr>
      <w:r>
        <w:rPr>
          <w:rFonts w:hint="eastAsia" w:ascii="仿宋" w:hAnsi="仿宋" w:eastAsia="仿宋" w:cs="仿宋"/>
          <w:color w:val="auto"/>
          <w:szCs w:val="28"/>
          <w:highlight w:val="none"/>
          <w:lang w:val="en-US" w:eastAsia="zh-CN"/>
        </w:rPr>
        <w:t>2、基于统一平台实现：流程审批引擎，门户管理引擎，栏目自建引擎，日程管理，工作统计/办公中心，个人待办、已办，待阅，已阅，权限管理引擎，系统设置功能等。</w:t>
      </w:r>
    </w:p>
    <w:p w14:paraId="5C7DC18A">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9" w:name="_Toc217814020"/>
      <w:r>
        <w:rPr>
          <w:rFonts w:hint="eastAsia" w:ascii="仿宋" w:hAnsi="仿宋" w:eastAsia="仿宋" w:cs="仿宋"/>
          <w:color w:val="auto"/>
          <w:spacing w:val="5"/>
          <w:szCs w:val="28"/>
          <w:highlight w:val="none"/>
          <w:lang w:eastAsia="zh-CN"/>
        </w:rPr>
        <w:t>（二）统一流程引擎</w:t>
      </w:r>
      <w:bookmarkEnd w:id="9"/>
    </w:p>
    <w:p w14:paraId="37851AAF">
      <w:pPr>
        <w:spacing w:line="480" w:lineRule="exact"/>
        <w:ind w:firstLine="562" w:firstLineChars="200"/>
        <w:rPr>
          <w:rFonts w:hint="default" w:ascii="仿宋" w:hAnsi="仿宋" w:eastAsia="仿宋" w:cs="仿宋"/>
          <w:b/>
          <w:bCs/>
          <w:color w:val="auto"/>
          <w:szCs w:val="28"/>
          <w:highlight w:val="yellow"/>
          <w:lang w:val="en-US" w:eastAsia="zh-CN"/>
        </w:rPr>
      </w:pPr>
      <w:r>
        <w:rPr>
          <w:rFonts w:hint="eastAsia" w:ascii="仿宋" w:hAnsi="仿宋" w:eastAsia="仿宋" w:cs="仿宋"/>
          <w:b/>
          <w:bCs/>
          <w:color w:val="auto"/>
          <w:kern w:val="2"/>
          <w:sz w:val="28"/>
          <w:szCs w:val="28"/>
          <w:highlight w:val="none"/>
          <w:lang w:val="en-US" w:eastAsia="zh-CN" w:bidi="ar-SA"/>
        </w:rPr>
        <w:t>1、▲</w:t>
      </w:r>
      <w:r>
        <w:rPr>
          <w:rFonts w:hint="eastAsia" w:ascii="仿宋" w:hAnsi="仿宋" w:eastAsia="仿宋" w:cs="仿宋"/>
          <w:b/>
          <w:bCs/>
          <w:color w:val="auto"/>
          <w:szCs w:val="28"/>
          <w:highlight w:val="none"/>
          <w:lang w:val="en-US" w:eastAsia="zh-CN"/>
        </w:rPr>
        <w:t>流程设计器提供人工活动、自动活动、选择活动，支持拆分合并、一票否决、串行并行的工作流场景。</w:t>
      </w:r>
      <w:r>
        <w:rPr>
          <w:rFonts w:hint="eastAsia" w:ascii="仿宋" w:hAnsi="仿宋" w:eastAsia="仿宋" w:cs="仿宋"/>
          <w:b/>
          <w:bCs/>
          <w:color w:val="auto"/>
          <w:szCs w:val="28"/>
          <w:highlight w:val="yellow"/>
          <w:lang w:val="en-US" w:eastAsia="zh-CN"/>
        </w:rPr>
        <w:t>（技术要求加分项，提供证明材料（系统截图））</w:t>
      </w:r>
    </w:p>
    <w:p w14:paraId="1009F43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2、开发者可以利用表单设计器实现各类审批单设计，包括公文审批单、行政审批单以及各类工单。组件化的表单组件、所见即所得的设计模式能够大大提高开发与设计效率。</w:t>
      </w:r>
    </w:p>
    <w:p w14:paraId="03CDBBA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3、符合国家《党政机关公文格式》标准的公文编辑器，可以让用户在不需要付出额外成本，就可以实现标准化公文格式的在线编辑。公文编辑器适用于红头文件的处理，或是对格式要求非常严格的文书编辑。</w:t>
      </w:r>
    </w:p>
    <w:p w14:paraId="6267B886">
      <w:pPr>
        <w:spacing w:line="480" w:lineRule="exact"/>
        <w:ind w:firstLine="560" w:firstLineChars="200"/>
        <w:rPr>
          <w:rFonts w:hint="eastAsia" w:ascii="仿宋" w:hAnsi="仿宋" w:eastAsia="仿宋" w:cs="仿宋"/>
          <w:b/>
          <w:bCs/>
          <w:color w:val="auto"/>
          <w:szCs w:val="28"/>
          <w:highlight w:val="none"/>
          <w:lang w:val="en-US" w:eastAsia="zh-CN"/>
        </w:rPr>
      </w:pPr>
      <w:r>
        <w:rPr>
          <w:rFonts w:hint="eastAsia" w:ascii="仿宋" w:hAnsi="仿宋" w:eastAsia="仿宋" w:cs="仿宋"/>
          <w:color w:val="auto"/>
          <w:szCs w:val="28"/>
          <w:highlight w:val="none"/>
          <w:lang w:val="en-US" w:eastAsia="zh-CN"/>
        </w:rPr>
        <w:t>4、</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流程设计时，可以灵活地使用活动到达前、活动到达后、活动处理前、活动处理后等流程引擎的事件处理机制来实现复杂的业务逻辑。</w:t>
      </w:r>
    </w:p>
    <w:p w14:paraId="3D2AA16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流程设计版本控制能力：</w:t>
      </w:r>
      <w:r>
        <w:rPr>
          <w:rFonts w:hint="eastAsia" w:ascii="仿宋" w:hAnsi="仿宋" w:eastAsia="仿宋" w:cs="仿宋"/>
          <w:color w:val="auto"/>
          <w:szCs w:val="28"/>
          <w:highlight w:val="none"/>
          <w:lang w:val="en-US" w:eastAsia="zh-CN"/>
        </w:rPr>
        <w:t>流程设计版本控制能力让在进行流程设计更新时更加从容，不用担心修改流程或者表单设计之后对在线流程产生影响。</w:t>
      </w:r>
    </w:p>
    <w:p w14:paraId="321BFDF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eastAsia="zh-CN"/>
        </w:rPr>
      </w:pPr>
      <w:bookmarkStart w:id="10" w:name="_Toc217814021"/>
      <w:r>
        <w:rPr>
          <w:rFonts w:hint="eastAsia" w:ascii="仿宋" w:hAnsi="仿宋" w:eastAsia="仿宋" w:cs="仿宋"/>
          <w:color w:val="auto"/>
          <w:spacing w:val="5"/>
          <w:szCs w:val="28"/>
          <w:highlight w:val="none"/>
          <w:lang w:eastAsia="zh-CN"/>
        </w:rPr>
        <w:t>（三）统一门户</w:t>
      </w:r>
      <w:bookmarkEnd w:id="10"/>
    </w:p>
    <w:p w14:paraId="49C0497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pacing w:val="5"/>
          <w:szCs w:val="28"/>
          <w:highlight w:val="none"/>
          <w:lang w:val="en-US" w:eastAsia="zh-CN"/>
        </w:rPr>
        <w:t>1、</w:t>
      </w:r>
      <w:r>
        <w:rPr>
          <w:rFonts w:hint="eastAsia" w:ascii="仿宋" w:hAnsi="仿宋" w:eastAsia="仿宋" w:cs="仿宋"/>
          <w:color w:val="auto"/>
          <w:szCs w:val="28"/>
          <w:highlight w:val="none"/>
          <w:lang w:val="en-US" w:eastAsia="zh-CN"/>
        </w:rPr>
        <w:t>支持信息系统数据分类汇聚和大屏集成展示，支持拖拉拽方式配置、统一管理等，可自由配置数据库、文件、接口等数据源。</w:t>
      </w:r>
    </w:p>
    <w:p w14:paraId="4716C9B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1" w:name="_Toc217814022"/>
      <w:r>
        <w:rPr>
          <w:rFonts w:hint="eastAsia" w:ascii="仿宋" w:hAnsi="仿宋" w:eastAsia="仿宋" w:cs="仿宋"/>
          <w:color w:val="auto"/>
          <w:spacing w:val="5"/>
          <w:szCs w:val="28"/>
          <w:highlight w:val="none"/>
          <w:lang w:eastAsia="zh-CN"/>
        </w:rPr>
        <w:t>（四）公文管理</w:t>
      </w:r>
      <w:bookmarkEnd w:id="11"/>
    </w:p>
    <w:p w14:paraId="2F9B435B">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1、支持红头模块定制。支持特殊的公文标准细节定制，能更好地符合各部门对公文红头标准的要求。系统支持在公文流程创建时或者中间活动节点对正文套红，确保满足公文流转业务的实际要求。</w:t>
      </w:r>
    </w:p>
    <w:p w14:paraId="76FEDBE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2、支持快速实现上下级收发文转换业务的实现。借助简单的配置方式即可完成上级来文转发文，发文转收文以及集成公文交换中心完成各级部门的公文传递业务场景。</w:t>
      </w:r>
    </w:p>
    <w:p w14:paraId="355C2F05">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3、支持保留编辑痕迹有助于追溯修改过程，避免版本混乱和信息丢失，为公文管理和决策提供有力支持。</w:t>
      </w:r>
    </w:p>
    <w:p w14:paraId="6D8B7F3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4、实现高效、安全的签章操作，确保公文的真实性和权威性，提高了公文管理的效率和可靠性。集成电子签章产品之后，用户可以获取更便捷，更高效，更安全的用印体验。</w:t>
      </w:r>
    </w:p>
    <w:p w14:paraId="1447F06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发文、收文管理实现模板化管理，拟稿保存，草稿删除，多级驳回机制，时限预警，流程图实时可视化，流程异常垄断，多人协同批注，消息提醒，自动化分类归档，借阅审批，支持按日期、部门、类型等多种条件检索。</w:t>
      </w:r>
    </w:p>
    <w:p w14:paraId="2718355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2" w:name="_Toc217814023"/>
      <w:r>
        <w:rPr>
          <w:rFonts w:hint="eastAsia" w:ascii="仿宋" w:hAnsi="仿宋" w:eastAsia="仿宋" w:cs="仿宋"/>
          <w:color w:val="auto"/>
          <w:spacing w:val="5"/>
          <w:szCs w:val="28"/>
          <w:highlight w:val="none"/>
          <w:lang w:eastAsia="zh-CN"/>
        </w:rPr>
        <w:t>（五）流程管理</w:t>
      </w:r>
      <w:bookmarkEnd w:id="12"/>
    </w:p>
    <w:p w14:paraId="5F0A1AAA">
      <w:pPr>
        <w:spacing w:line="480" w:lineRule="exact"/>
        <w:ind w:firstLine="562" w:firstLineChars="200"/>
        <w:rPr>
          <w:rFonts w:hint="eastAsia" w:ascii="仿宋" w:hAnsi="仿宋" w:eastAsia="仿宋" w:cs="仿宋"/>
          <w:color w:val="auto"/>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1、▲</w:t>
      </w:r>
      <w:r>
        <w:rPr>
          <w:rFonts w:hint="eastAsia" w:ascii="仿宋" w:hAnsi="仿宋" w:eastAsia="仿宋" w:cs="仿宋"/>
          <w:b/>
          <w:bCs/>
          <w:color w:val="auto"/>
          <w:szCs w:val="28"/>
          <w:highlight w:val="none"/>
          <w:lang w:val="en-US" w:eastAsia="zh-CN"/>
        </w:rPr>
        <w:t>动态路由、根据表单字段自动触发分支路径、并行审批、多级审批、逻辑审批（if/else），允许流程分叉执行后合并、会签、加签等审批场景的功能。</w:t>
      </w:r>
      <w:r>
        <w:rPr>
          <w:rFonts w:hint="eastAsia" w:ascii="仿宋" w:hAnsi="仿宋" w:eastAsia="仿宋" w:cs="仿宋"/>
          <w:b/>
          <w:bCs/>
          <w:color w:val="auto"/>
          <w:szCs w:val="28"/>
          <w:highlight w:val="yellow"/>
          <w:lang w:val="en-US" w:eastAsia="zh-CN"/>
        </w:rPr>
        <w:t>（技术要求加分项，提供证明材料（系统截图））</w:t>
      </w:r>
    </w:p>
    <w:p w14:paraId="1E790676">
      <w:pPr>
        <w:spacing w:line="480" w:lineRule="exact"/>
        <w:ind w:firstLine="562" w:firstLineChars="200"/>
        <w:rPr>
          <w:rFonts w:hint="eastAsia" w:ascii="仿宋" w:hAnsi="仿宋" w:eastAsia="仿宋" w:cs="仿宋"/>
          <w:b/>
          <w:bCs/>
          <w:color w:val="auto"/>
          <w:kern w:val="2"/>
          <w:sz w:val="28"/>
          <w:szCs w:val="28"/>
          <w:highlight w:val="yellow"/>
          <w:lang w:val="en-US" w:eastAsia="zh-CN" w:bidi="ar-SA"/>
        </w:rPr>
      </w:pPr>
      <w:r>
        <w:rPr>
          <w:rFonts w:hint="eastAsia" w:ascii="仿宋" w:hAnsi="仿宋" w:eastAsia="仿宋" w:cs="仿宋"/>
          <w:b/>
          <w:bCs/>
          <w:color w:val="auto"/>
          <w:kern w:val="2"/>
          <w:sz w:val="28"/>
          <w:szCs w:val="28"/>
          <w:highlight w:val="none"/>
          <w:lang w:val="en-US" w:eastAsia="zh-CN" w:bidi="ar-SA"/>
        </w:rPr>
        <w:t>2、▲支持自由流流程。</w:t>
      </w:r>
      <w:r>
        <w:rPr>
          <w:rFonts w:hint="eastAsia" w:ascii="仿宋" w:hAnsi="仿宋" w:eastAsia="仿宋" w:cs="仿宋"/>
          <w:b/>
          <w:bCs/>
          <w:color w:val="auto"/>
          <w:szCs w:val="28"/>
          <w:highlight w:val="yellow"/>
          <w:lang w:val="en-US" w:eastAsia="zh-CN"/>
        </w:rPr>
        <w:t>（技术要求加分项，提供证明材料（系统截图））</w:t>
      </w:r>
    </w:p>
    <w:p w14:paraId="5C77237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3、设置节点超时处理规则（如自动提醒、转交他人、升级处理）</w:t>
      </w:r>
    </w:p>
    <w:p w14:paraId="02451F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4、允许提交人在特定节点前撤回或修改申请</w:t>
      </w:r>
    </w:p>
    <w:p w14:paraId="3E9482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5、审批人可预设代理，避免流程停滞</w:t>
      </w:r>
    </w:p>
    <w:p w14:paraId="5DC672D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6、处理加签、减签后的权限冲突（如多人修改时的版本锁定）</w:t>
      </w:r>
    </w:p>
    <w:p w14:paraId="05E73B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7、流程追踪到具体审批的节点</w:t>
      </w:r>
    </w:p>
    <w:p w14:paraId="4FB8778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8、按组织架构绑定角色/岗位（如部门负责人、项目主管）</w:t>
      </w:r>
    </w:p>
    <w:p w14:paraId="7BB79E2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9、从其他系统拉取审批人</w:t>
      </w:r>
    </w:p>
    <w:p w14:paraId="5BDDF91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10、自选审批人：允许提交人指定或系统推荐候选审批人</w:t>
      </w:r>
    </w:p>
    <w:p w14:paraId="04617AE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11、自动节点：自动执行规则（如合规检查通过后自动进入下一节点）</w:t>
      </w:r>
    </w:p>
    <w:p w14:paraId="0AA002C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12、或签：任意一名审批人通过即可流转</w:t>
      </w:r>
    </w:p>
    <w:p w14:paraId="5E6B30D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13、抢签：多人中先处理者生效，避免重复审批</w:t>
      </w:r>
    </w:p>
    <w:p w14:paraId="5D31F86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子流程：嵌套调用其他审批流程，实现模块化复用。</w:t>
      </w:r>
      <w:r>
        <w:rPr>
          <w:rFonts w:hint="eastAsia" w:ascii="仿宋" w:hAnsi="仿宋" w:eastAsia="仿宋" w:cs="仿宋"/>
          <w:b/>
          <w:bCs/>
          <w:color w:val="auto"/>
          <w:szCs w:val="28"/>
          <w:highlight w:val="yellow"/>
          <w:lang w:val="en-US" w:eastAsia="zh-CN"/>
        </w:rPr>
        <w:t>（技术要求加分项，提供证明材料（系统截图））</w:t>
      </w:r>
    </w:p>
    <w:p w14:paraId="020E405B">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15、</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版本控制：保存历史版本，支持灰度发布与回滚</w:t>
      </w:r>
    </w:p>
    <w:p w14:paraId="0E41280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16、</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审计日志：记录流程配置修改、审批操作日志，满足合规审计需求</w:t>
      </w:r>
      <w:r>
        <w:rPr>
          <w:rFonts w:hint="eastAsia" w:ascii="仿宋" w:hAnsi="仿宋" w:eastAsia="仿宋" w:cs="仿宋"/>
          <w:b/>
          <w:bCs/>
          <w:color w:val="auto"/>
          <w:szCs w:val="28"/>
          <w:highlight w:val="yellow"/>
          <w:lang w:val="en-US" w:eastAsia="zh-CN"/>
        </w:rPr>
        <w:t>（技术要求加分项，提供证明材料（系统截图））</w:t>
      </w:r>
    </w:p>
    <w:p w14:paraId="03A977C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17、</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拖拽式设计器支持富文本、附件、表格等字段类型，用户可根据业务需求创建个性化的流程流转的表单</w:t>
      </w:r>
    </w:p>
    <w:p w14:paraId="550F629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18、规则校验（如金额格式、必填项、跨字段逻辑）。</w:t>
      </w:r>
    </w:p>
    <w:p w14:paraId="41DAA9D4">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3" w:name="_Toc217814024"/>
      <w:r>
        <w:rPr>
          <w:rFonts w:hint="eastAsia" w:ascii="仿宋" w:hAnsi="仿宋" w:eastAsia="仿宋" w:cs="仿宋"/>
          <w:color w:val="auto"/>
          <w:spacing w:val="5"/>
          <w:szCs w:val="28"/>
          <w:highlight w:val="none"/>
          <w:lang w:eastAsia="zh-CN"/>
        </w:rPr>
        <w:t>（六）流程审批</w:t>
      </w:r>
      <w:bookmarkEnd w:id="13"/>
    </w:p>
    <w:p w14:paraId="5E94CD0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流程根据进度分类为待办、已办、待阅、已阅四种状态</w:t>
      </w:r>
    </w:p>
    <w:p w14:paraId="3CD14D3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2.流程办理可以在移动端进行审批、其功能和pc端保持一致性</w:t>
      </w:r>
    </w:p>
    <w:p w14:paraId="05976E85">
      <w:pPr>
        <w:spacing w:line="480" w:lineRule="exact"/>
        <w:ind w:firstLine="560" w:firstLineChars="200"/>
        <w:rPr>
          <w:rFonts w:hint="eastAsia" w:ascii="仿宋" w:hAnsi="仿宋" w:eastAsia="仿宋" w:cs="仿宋"/>
          <w:b/>
          <w:bCs/>
          <w:color w:val="auto"/>
          <w:szCs w:val="28"/>
          <w:highlight w:val="none"/>
          <w:lang w:val="en-US" w:eastAsia="zh-CN"/>
        </w:rPr>
      </w:pPr>
      <w:r>
        <w:rPr>
          <w:rFonts w:hint="eastAsia" w:ascii="仿宋" w:hAnsi="仿宋" w:eastAsia="仿宋" w:cs="仿宋"/>
          <w:color w:val="auto"/>
          <w:szCs w:val="28"/>
          <w:highlight w:val="none"/>
          <w:lang w:val="en-US" w:eastAsia="zh-CN"/>
        </w:rPr>
        <w:t>3.</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支持短信、APP消息推送等多通道提醒，可自定义消息提醒模板。</w:t>
      </w:r>
    </w:p>
    <w:p w14:paraId="2AE844E4">
      <w:pPr>
        <w:pStyle w:val="2"/>
        <w:ind w:firstLine="560" w:firstLineChars="200"/>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4.相同类型的流程流转支持审批人批量同意/驳回同类申请。</w:t>
      </w:r>
    </w:p>
    <w:p w14:paraId="2D912398">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4" w:name="_Toc217814025"/>
      <w:r>
        <w:rPr>
          <w:rFonts w:hint="eastAsia" w:ascii="仿宋" w:hAnsi="仿宋" w:eastAsia="仿宋" w:cs="仿宋"/>
          <w:color w:val="auto"/>
          <w:spacing w:val="5"/>
          <w:szCs w:val="28"/>
          <w:highlight w:val="none"/>
          <w:lang w:eastAsia="zh-CN"/>
        </w:rPr>
        <w:t>（七）会议管理</w:t>
      </w:r>
      <w:bookmarkEnd w:id="14"/>
    </w:p>
    <w:p w14:paraId="6D0EB295">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1、确保会议室得到合理、高效的利用，避免资源浪费和冲突。实时了解会议室的使用状况，预约或调配资源，确保会议顺利进行。</w:t>
      </w:r>
    </w:p>
    <w:p w14:paraId="2D3C01D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2、快速、准确地预订会议室资源，确保会议的顺利进行。简化会议室的预订过程，提高了效率，避免了资源的浪费和冲突。</w:t>
      </w:r>
    </w:p>
    <w:p w14:paraId="52C5E5C9">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3、提醒用户避免重复预订或安排冲突的会议，避免资源的浪费和时间的延误。帮助企业提高会议管理的效率和准确性，确保会议的顺利进行和资源的有效利用。</w:t>
      </w:r>
    </w:p>
    <w:p w14:paraId="540BF01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4、确保与会者及时收到会议通知，避免遗漏或延误，提高会议参与率。帮助组织者准确记录与会者的出席情况，确保会议的顺利进行和有效参与。</w:t>
      </w:r>
    </w:p>
    <w:p w14:paraId="762207E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5" w:name="_Toc217814026"/>
      <w:r>
        <w:rPr>
          <w:rFonts w:hint="eastAsia" w:ascii="仿宋" w:hAnsi="仿宋" w:eastAsia="仿宋" w:cs="仿宋"/>
          <w:color w:val="auto"/>
          <w:spacing w:val="5"/>
          <w:szCs w:val="28"/>
          <w:highlight w:val="none"/>
          <w:lang w:eastAsia="zh-CN"/>
        </w:rPr>
        <w:t>（八）出差审批</w:t>
      </w:r>
      <w:bookmarkEnd w:id="15"/>
    </w:p>
    <w:p w14:paraId="1BE83D9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1、建设统一、规范、高效、可追溯的集团级出差申请，覆盖集团总部及所有下属分子公司。</w:t>
      </w:r>
    </w:p>
    <w:p w14:paraId="4BD9908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2、支持多层级组织架构（集团总部、子公司、分公司、项目部等），可按单位设置独立的出差申请表；</w:t>
      </w:r>
    </w:p>
    <w:p w14:paraId="4017ACB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3、支持角色权限精细化配置（如申请人、部门负责人、分管领导、行政管理员等）；</w:t>
      </w:r>
    </w:p>
    <w:p w14:paraId="6715A39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6" w:name="_Toc217814027"/>
      <w:r>
        <w:rPr>
          <w:rFonts w:hint="eastAsia" w:ascii="仿宋" w:hAnsi="仿宋" w:eastAsia="仿宋" w:cs="仿宋"/>
          <w:color w:val="auto"/>
          <w:spacing w:val="5"/>
          <w:szCs w:val="28"/>
          <w:highlight w:val="none"/>
          <w:lang w:eastAsia="zh-CN"/>
        </w:rPr>
        <w:t>（九）用车审批</w:t>
      </w:r>
      <w:bookmarkEnd w:id="16"/>
    </w:p>
    <w:p w14:paraId="29F114A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1、建设统一、规范、透明、可追溯的集团级公务用车在线审批与调度管理平台，实现“申请—审批—派车—使用—归还—评价—统计”全生命周期闭环管理。</w:t>
      </w:r>
    </w:p>
    <w:p w14:paraId="1DF62D4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2、支持集团总部、子公司、分公司、项目部等多层级单位；</w:t>
      </w:r>
    </w:p>
    <w:p w14:paraId="51183A7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3、各单位可独立管理本单位车辆及驾驶员，同时支持集团统筹调度。</w:t>
      </w:r>
    </w:p>
    <w:p w14:paraId="1B83D0E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4、记录车辆基本信息（车牌号、车型、品牌、购置日期、使用性质、所属单位、状态等）；</w:t>
      </w:r>
    </w:p>
    <w:p w14:paraId="4E3F64C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5、维护驾驶员信息（姓名、驾驶证号、联系方式、所属单位、状态）；</w:t>
      </w:r>
    </w:p>
    <w:p w14:paraId="13B40F1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6、必填字段包括：申请人、所属部门、用车事由、用车类型（公务/接待/应急/生产等）、目的地、出发/返回时间、乘车人数、是否需要驾驶员等；</w:t>
      </w:r>
    </w:p>
    <w:p w14:paraId="08CC118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7、支持多人同行或跨单位联合用车申请。</w:t>
      </w:r>
    </w:p>
    <w:p w14:paraId="3FB1B145">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7" w:name="_Toc217814028"/>
      <w:r>
        <w:rPr>
          <w:rFonts w:hint="eastAsia" w:ascii="仿宋" w:hAnsi="仿宋" w:eastAsia="仿宋" w:cs="仿宋"/>
          <w:color w:val="auto"/>
          <w:spacing w:val="5"/>
          <w:szCs w:val="28"/>
          <w:highlight w:val="none"/>
          <w:lang w:eastAsia="zh-CN"/>
        </w:rPr>
        <w:t>（十）其他技术要求</w:t>
      </w:r>
      <w:bookmarkEnd w:id="17"/>
    </w:p>
    <w:p w14:paraId="31A6AB98">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szCs w:val="28"/>
          <w:highlight w:val="none"/>
          <w:lang w:val="en-US" w:eastAsia="zh-CN"/>
        </w:rPr>
        <w:t>本项目可基于B/S架构开发，使用Java编程语言开发后端服务，使用JavaScript语言开发前端功能，使用Flutter语言开发安卓/IOS双端APP，以便获得更好的跨平台性和可移植性。</w:t>
      </w:r>
    </w:p>
    <w:p w14:paraId="16FFB0E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2、开发时应充分采用容器等技术，支持各服务组件化应用，系统架构应充分考虑可升级性、灵活性和可扩展性。</w:t>
      </w:r>
    </w:p>
    <w:p w14:paraId="447216F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3、为提升系统性能，定制化软件开发前后台框架应使用成熟、稳定、安全、可靠的框架。</w:t>
      </w:r>
    </w:p>
    <w:p w14:paraId="741CE48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4、硬件兼容性：本项目系统应能够在云平台硬件、网络环境下正常部署和运行。</w:t>
      </w:r>
    </w:p>
    <w:p w14:paraId="18732A5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5、软件兼容性：服务端支持部署运行在国产操作系统上，电脑端需同时支持Windows等非国产操作系统和国产操作系统下主流浏览器，移动端支持IOS、安卓、鸿蒙系统。</w:t>
      </w:r>
    </w:p>
    <w:p w14:paraId="79EF8902">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6、移动端自适应性：充分利用HTML5技术，开发时应采用响应式编程，充分考虑手机端、平板端和电脑端等不同分辨率下的自适应性。</w:t>
      </w:r>
    </w:p>
    <w:p w14:paraId="7C7F911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7、提供定制化APP：提供凉山交城集团个性化APP；</w:t>
      </w:r>
    </w:p>
    <w:p w14:paraId="50E7500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8、在设计理念和技术体系等方面充分考虑最新容器方式部署，确保应用架构满足未来需要。</w:t>
      </w:r>
    </w:p>
    <w:p w14:paraId="36BF403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9、系统应能够提供长时间、不间断、可用的持续服务能力，某子系统重新启动、关闭和异常停止后不应影响其它子系统正常运行。</w:t>
      </w:r>
    </w:p>
    <w:p w14:paraId="5BF89DE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10、系统采用冗余设计，不存在单点故障。</w:t>
      </w:r>
    </w:p>
    <w:p w14:paraId="68B9827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11、系统应具有良好的备份和恢复策略，支持数据在线备份和恢复，恢复的数据能保持完整性和一致性。</w:t>
      </w:r>
    </w:p>
    <w:p w14:paraId="437C3D1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12、所有功能模块、流程、报表和表单格式等应做到灵活可配置。</w:t>
      </w:r>
    </w:p>
    <w:p w14:paraId="562E6EC5">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13、支持多并发用户的流畅操作，支持并发能力灵活扩展。</w:t>
      </w:r>
    </w:p>
    <w:p w14:paraId="11AA6FC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14、UI设计扁平化，界面简洁美观，操作简便，符合用户习惯。</w:t>
      </w:r>
    </w:p>
    <w:p w14:paraId="0774E3A1">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15、支持用户IPv4和IPv6双栈协议访问。</w:t>
      </w:r>
    </w:p>
    <w:p w14:paraId="79A0E3A0">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16、功能应当集约化，提供组织、人员、角色、权限、业务等数据的关联操作。</w:t>
      </w:r>
    </w:p>
    <w:p w14:paraId="03C4A64B">
      <w:pPr>
        <w:spacing w:line="480" w:lineRule="exact"/>
        <w:ind w:firstLine="560" w:firstLineChars="200"/>
        <w:rPr>
          <w:rFonts w:hint="eastAsia" w:ascii="仿宋" w:hAnsi="仿宋" w:eastAsia="仿宋" w:cs="仿宋"/>
          <w:b w:val="0"/>
          <w:bCs w:val="0"/>
          <w:color w:val="auto"/>
          <w:szCs w:val="28"/>
          <w:highlight w:val="none"/>
          <w:lang w:val="en-US" w:eastAsia="zh-CN"/>
        </w:rPr>
      </w:pPr>
      <w:r>
        <w:rPr>
          <w:rFonts w:hint="eastAsia" w:ascii="仿宋" w:hAnsi="仿宋" w:eastAsia="仿宋" w:cs="仿宋"/>
          <w:b w:val="0"/>
          <w:bCs w:val="0"/>
          <w:color w:val="auto"/>
          <w:szCs w:val="28"/>
          <w:highlight w:val="none"/>
          <w:lang w:val="en-US" w:eastAsia="zh-CN"/>
        </w:rPr>
        <w:t>17、系统提供易用的运维管理功能，包括数据导入导出、系统配置管理和远程维护等功能。</w:t>
      </w:r>
    </w:p>
    <w:p w14:paraId="5C5D1A4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18、系统支持微服务、容器等方式部署。</w:t>
      </w:r>
    </w:p>
    <w:p w14:paraId="5A4B00E6">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19、系统能够灵活应对相关业务需求的变化，如增加新的事项申报或删减现有事项申报环节等。</w:t>
      </w:r>
    </w:p>
    <w:p w14:paraId="1022224B">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20、系统功能扩展应不影响其调用的功能模块。</w:t>
      </w:r>
    </w:p>
    <w:p w14:paraId="11A988B7">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21、系统具有良好的开放性，支持按照标准的Web Service等方式提供必要的数据接口，便于与其他系统对接，或基于该接口方便构建新的业务。基于本条技术要求，提供框架设计文档，不限于框架设计图、设计文档及其他佐证材料。</w:t>
      </w:r>
    </w:p>
    <w:p w14:paraId="027C906F">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22、遵照《中华人民共和国网络安全法》《中华人民共和国数据安全法》《中华人民共和国个人信息保护法》等有关法律法规要求，对功能操作进行用户授权管理和必要审计，对目录信息、数据资源信息等进行分级分类存储和控制，确保系统和数据安全性。建立数据脱敏管理机制，对共享开放数据，根据业务场景进行必要脱敏。</w:t>
      </w:r>
    </w:p>
    <w:p w14:paraId="772D2E1A">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23、配合做好系统测试、等保测评、密码应用安全性评估等第三方测试测评并按要求做好相关整改和优化工作。</w:t>
      </w:r>
    </w:p>
    <w:p w14:paraId="22F89A8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24、支持数据传输加密，支持用户名密码不可逆加密，原生支持“三员管理”</w:t>
      </w:r>
    </w:p>
    <w:p w14:paraId="4751B9A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25、响应时间：系统响应时间不得超过“2、3、5秒”原则，即系统登录页面响应时间不超过2秒，系统查询（文档操作）响应时间不超过3秒，复杂功能响应时间不超过5秒。</w:t>
      </w:r>
    </w:p>
    <w:p w14:paraId="11DD2B73">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26、资源使用率：系统正常运行时，服务端和客户端资源使用率不得超过70%。</w:t>
      </w:r>
    </w:p>
    <w:p w14:paraId="0B0E286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27、并发用户数：系统支持不少于500个用户并发、5000个用户同时在线。</w:t>
      </w:r>
    </w:p>
    <w:p w14:paraId="28A88CAE">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28、针对本项目建设内容，梳理编制政务数据资源目录，按照共享开放和安全管理等要求进行数据分级分类，并在系统建设过程中按要求进行处理、存储、防护和利用。</w:t>
      </w:r>
    </w:p>
    <w:p w14:paraId="43749134">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29、操作系统适配：包括但不限于windows，MacOS，各类国产操作系统如，统信（UOS），中科麒麟，银河麒麟等。</w:t>
      </w:r>
    </w:p>
    <w:p w14:paraId="005B60BD">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30、浏览器适配，包括但不限于：谷歌浏览器（Chrome），火狐浏览器（Firefox），IE11，Safari，360浏览器，360可信浏览器。</w:t>
      </w:r>
    </w:p>
    <w:p w14:paraId="3EBD419C">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31、移动操作系统适配：鸿蒙，安卓，IOS</w:t>
      </w:r>
    </w:p>
    <w:p w14:paraId="537F07E9">
      <w:pPr>
        <w:spacing w:line="480" w:lineRule="exact"/>
        <w:ind w:firstLine="560" w:firstLineChars="200"/>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32、开放所有服务接口，包括但不限于：流程引擎接口，数据对接接口，门户管理接口，服务管理接口，消息通讯接口等。</w:t>
      </w:r>
    </w:p>
    <w:p w14:paraId="2179BFB6">
      <w:pPr>
        <w:spacing w:line="48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33、▲公文编辑器要求：支持国标GB/T 9704-2012公文格式，无需采购任何第三方产品或在线编辑即可实现国标公文在线处理。</w:t>
      </w:r>
    </w:p>
    <w:p w14:paraId="546B544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34、投标方提供的移动办公软件系统须支持在主流国产云平台环境中稳定部署和运行，包括但不限于：移动云、华为云、腾讯云等</w:t>
      </w:r>
    </w:p>
    <w:p w14:paraId="145FE194">
      <w:pPr>
        <w:spacing w:line="480" w:lineRule="exact"/>
        <w:ind w:firstLine="560" w:firstLineChars="200"/>
        <w:rPr>
          <w:rFonts w:hint="default" w:ascii="仿宋" w:hAnsi="仿宋" w:eastAsia="仿宋" w:cs="仿宋"/>
          <w:color w:val="auto"/>
          <w:szCs w:val="28"/>
          <w:highlight w:val="yellow"/>
          <w:lang w:val="en-US" w:eastAsia="zh-CN"/>
        </w:rPr>
      </w:pPr>
      <w:r>
        <w:rPr>
          <w:rFonts w:hint="eastAsia" w:ascii="仿宋" w:hAnsi="仿宋" w:eastAsia="仿宋" w:cs="仿宋"/>
          <w:color w:val="auto"/>
          <w:szCs w:val="28"/>
          <w:highlight w:val="none"/>
          <w:lang w:val="en-US" w:eastAsia="zh-CN"/>
        </w:rPr>
        <w:t>35、</w:t>
      </w:r>
      <w:r>
        <w:rPr>
          <w:rFonts w:hint="eastAsia" w:ascii="仿宋" w:hAnsi="仿宋" w:eastAsia="仿宋" w:cs="仿宋"/>
          <w:b/>
          <w:bCs/>
          <w:color w:val="auto"/>
          <w:sz w:val="24"/>
          <w:szCs w:val="24"/>
          <w:highlight w:val="none"/>
          <w:lang w:val="en-US" w:eastAsia="zh-CN"/>
        </w:rPr>
        <w:t>▲</w:t>
      </w:r>
      <w:r>
        <w:rPr>
          <w:rFonts w:hint="default" w:ascii="仿宋" w:hAnsi="仿宋" w:eastAsia="仿宋" w:cs="仿宋"/>
          <w:b/>
          <w:bCs/>
          <w:color w:val="auto"/>
          <w:szCs w:val="28"/>
          <w:highlight w:val="none"/>
          <w:lang w:val="en-US" w:eastAsia="zh-CN"/>
        </w:rPr>
        <w:t>网络安全等级保护三级（等保三级）合规要求</w:t>
      </w:r>
      <w:r>
        <w:rPr>
          <w:rFonts w:hint="eastAsia" w:ascii="仿宋" w:hAnsi="仿宋" w:eastAsia="仿宋" w:cs="仿宋"/>
          <w:b/>
          <w:bCs/>
          <w:color w:val="auto"/>
          <w:szCs w:val="28"/>
          <w:highlight w:val="none"/>
          <w:lang w:val="en-US" w:eastAsia="zh-CN"/>
        </w:rPr>
        <w:t>：</w:t>
      </w:r>
      <w:r>
        <w:rPr>
          <w:rFonts w:hint="default" w:ascii="仿宋" w:hAnsi="仿宋" w:eastAsia="仿宋" w:cs="仿宋"/>
          <w:color w:val="auto"/>
          <w:szCs w:val="28"/>
          <w:highlight w:val="none"/>
          <w:lang w:val="en-US" w:eastAsia="zh-CN"/>
        </w:rPr>
        <w:t>本项目所使用的云服务器，必须部署在已通过国家网络安全等级保护第三级（等保三级）测评的云服务平台上</w:t>
      </w:r>
      <w:r>
        <w:rPr>
          <w:rFonts w:hint="eastAsia" w:ascii="仿宋" w:hAnsi="仿宋" w:eastAsia="仿宋" w:cs="仿宋"/>
          <w:color w:val="auto"/>
          <w:szCs w:val="28"/>
          <w:highlight w:val="none"/>
          <w:lang w:val="en-US" w:eastAsia="zh-CN"/>
        </w:rPr>
        <w:t>。</w:t>
      </w:r>
      <w:r>
        <w:rPr>
          <w:rFonts w:hint="eastAsia" w:ascii="仿宋" w:hAnsi="仿宋" w:eastAsia="仿宋" w:cs="仿宋"/>
          <w:b/>
          <w:bCs/>
          <w:color w:val="auto"/>
          <w:szCs w:val="28"/>
          <w:highlight w:val="yellow"/>
          <w:lang w:val="en-US" w:eastAsia="zh-CN"/>
        </w:rPr>
        <w:t>（技术要求加分项，需</w:t>
      </w:r>
      <w:r>
        <w:rPr>
          <w:rFonts w:hint="default" w:ascii="仿宋" w:hAnsi="仿宋" w:eastAsia="仿宋" w:cs="仿宋"/>
          <w:b/>
          <w:bCs/>
          <w:color w:val="auto"/>
          <w:szCs w:val="28"/>
          <w:highlight w:val="yellow"/>
          <w:lang w:val="en-US" w:eastAsia="zh-CN"/>
        </w:rPr>
        <w:t>提供有效的等保三级测评报告</w:t>
      </w:r>
      <w:r>
        <w:rPr>
          <w:rFonts w:hint="eastAsia" w:ascii="仿宋" w:hAnsi="仿宋" w:eastAsia="仿宋" w:cs="仿宋"/>
          <w:b/>
          <w:bCs/>
          <w:color w:val="auto"/>
          <w:szCs w:val="28"/>
          <w:highlight w:val="yellow"/>
          <w:lang w:val="en-US" w:eastAsia="zh-CN"/>
        </w:rPr>
        <w:t>关键页）</w:t>
      </w:r>
      <w:r>
        <w:rPr>
          <w:rFonts w:hint="eastAsia" w:ascii="仿宋" w:hAnsi="仿宋" w:eastAsia="仿宋" w:cs="仿宋"/>
          <w:color w:val="auto"/>
          <w:szCs w:val="28"/>
          <w:highlight w:val="yellow"/>
          <w:lang w:val="en-US" w:eastAsia="zh-CN"/>
        </w:rPr>
        <w:t>。</w:t>
      </w:r>
    </w:p>
    <w:p w14:paraId="38276EB7">
      <w:pPr>
        <w:keepNext w:val="0"/>
        <w:keepLines w:val="0"/>
        <w:pageBreakBefore w:val="0"/>
        <w:widowControl w:val="0"/>
        <w:kinsoku/>
        <w:wordWrap/>
        <w:overflowPunct/>
        <w:topLinePunct w:val="0"/>
        <w:autoSpaceDE/>
        <w:autoSpaceDN/>
        <w:bidi w:val="0"/>
        <w:adjustRightInd/>
        <w:snapToGrid/>
        <w:spacing w:line="480" w:lineRule="exact"/>
        <w:ind w:firstLine="578" w:firstLineChars="200"/>
        <w:textAlignment w:val="auto"/>
        <w:outlineLvl w:val="1"/>
        <w:rPr>
          <w:rFonts w:hint="default" w:ascii="仿宋" w:hAnsi="仿宋" w:eastAsia="仿宋" w:cs="仿宋"/>
          <w:color w:val="auto"/>
          <w:spacing w:val="4"/>
          <w:szCs w:val="28"/>
          <w:highlight w:val="none"/>
          <w:lang w:val="en-US" w:eastAsia="zh-CN"/>
        </w:rPr>
      </w:pPr>
      <w:r>
        <w:rPr>
          <w:rFonts w:hint="eastAsia" w:ascii="仿宋" w:hAnsi="仿宋" w:eastAsia="仿宋" w:cs="仿宋"/>
          <w:b/>
          <w:bCs/>
          <w:color w:val="auto"/>
          <w:spacing w:val="4"/>
          <w:szCs w:val="28"/>
          <w:highlight w:val="none"/>
          <w:lang w:val="en-US" w:eastAsia="zh-CN"/>
        </w:rPr>
        <w:t>五</w:t>
      </w:r>
      <w:r>
        <w:rPr>
          <w:rFonts w:hint="eastAsia" w:ascii="仿宋" w:hAnsi="仿宋" w:eastAsia="仿宋" w:cs="仿宋"/>
          <w:b/>
          <w:bCs/>
          <w:color w:val="auto"/>
          <w:spacing w:val="4"/>
          <w:szCs w:val="28"/>
          <w:highlight w:val="none"/>
        </w:rPr>
        <w:t>、资格要求</w:t>
      </w:r>
      <w:r>
        <w:rPr>
          <w:rFonts w:hint="eastAsia" w:ascii="仿宋" w:hAnsi="仿宋" w:eastAsia="仿宋" w:cs="仿宋"/>
          <w:color w:val="auto"/>
          <w:spacing w:val="4"/>
          <w:szCs w:val="28"/>
          <w:highlight w:val="none"/>
        </w:rPr>
        <w:t>：</w:t>
      </w:r>
      <w:r>
        <w:rPr>
          <w:rFonts w:hint="eastAsia" w:ascii="仿宋" w:hAnsi="仿宋" w:eastAsia="仿宋" w:cs="仿宋"/>
          <w:color w:val="auto"/>
          <w:spacing w:val="4"/>
          <w:szCs w:val="28"/>
          <w:highlight w:val="none"/>
          <w:lang w:val="en-US" w:eastAsia="zh-CN"/>
        </w:rPr>
        <w:t>同比选公告。</w:t>
      </w:r>
    </w:p>
    <w:p w14:paraId="4F5D5506">
      <w:pPr>
        <w:keepNext w:val="0"/>
        <w:keepLines w:val="0"/>
        <w:pageBreakBefore w:val="0"/>
        <w:widowControl w:val="0"/>
        <w:kinsoku/>
        <w:wordWrap/>
        <w:overflowPunct/>
        <w:topLinePunct w:val="0"/>
        <w:autoSpaceDE/>
        <w:autoSpaceDN/>
        <w:bidi w:val="0"/>
        <w:adjustRightInd/>
        <w:snapToGrid/>
        <w:spacing w:line="480" w:lineRule="exact"/>
        <w:ind w:firstLine="574" w:firstLineChars="200"/>
        <w:textAlignment w:val="auto"/>
        <w:outlineLvl w:val="1"/>
        <w:rPr>
          <w:rFonts w:hint="eastAsia" w:ascii="仿宋" w:hAnsi="仿宋" w:eastAsia="仿宋" w:cs="仿宋"/>
          <w:b/>
          <w:bCs/>
          <w:color w:val="auto"/>
          <w:szCs w:val="28"/>
          <w:highlight w:val="none"/>
        </w:rPr>
      </w:pPr>
      <w:r>
        <w:rPr>
          <w:rFonts w:hint="eastAsia" w:ascii="仿宋" w:hAnsi="仿宋" w:eastAsia="仿宋" w:cs="仿宋"/>
          <w:b/>
          <w:bCs/>
          <w:color w:val="auto"/>
          <w:spacing w:val="3"/>
          <w:szCs w:val="28"/>
          <w:highlight w:val="none"/>
          <w:lang w:val="en-US" w:eastAsia="zh-CN"/>
        </w:rPr>
        <w:t>六</w:t>
      </w:r>
      <w:r>
        <w:rPr>
          <w:rFonts w:hint="eastAsia" w:ascii="仿宋" w:hAnsi="仿宋" w:eastAsia="仿宋" w:cs="仿宋"/>
          <w:b/>
          <w:bCs/>
          <w:color w:val="auto"/>
          <w:spacing w:val="3"/>
          <w:szCs w:val="28"/>
          <w:highlight w:val="none"/>
        </w:rPr>
        <w:t>、</w:t>
      </w:r>
      <w:r>
        <w:rPr>
          <w:rFonts w:hint="eastAsia" w:ascii="仿宋" w:hAnsi="仿宋" w:eastAsia="仿宋" w:cs="仿宋"/>
          <w:b/>
          <w:bCs/>
          <w:color w:val="auto"/>
          <w:spacing w:val="8"/>
          <w:szCs w:val="28"/>
          <w:highlight w:val="none"/>
        </w:rPr>
        <w:t>本项目不接受联合体参与比选。</w:t>
      </w:r>
    </w:p>
    <w:p w14:paraId="5E7042B8">
      <w:pPr>
        <w:keepNext w:val="0"/>
        <w:keepLines w:val="0"/>
        <w:pageBreakBefore w:val="0"/>
        <w:widowControl w:val="0"/>
        <w:kinsoku/>
        <w:wordWrap/>
        <w:overflowPunct/>
        <w:topLinePunct w:val="0"/>
        <w:autoSpaceDE/>
        <w:autoSpaceDN/>
        <w:bidi w:val="0"/>
        <w:adjustRightInd/>
        <w:snapToGrid/>
        <w:spacing w:line="480" w:lineRule="exact"/>
        <w:ind w:firstLine="570" w:firstLineChars="200"/>
        <w:textAlignment w:val="auto"/>
        <w:outlineLvl w:val="1"/>
        <w:rPr>
          <w:rFonts w:hint="eastAsia" w:ascii="仿宋" w:hAnsi="仿宋" w:eastAsia="仿宋" w:cs="仿宋"/>
          <w:color w:val="auto"/>
          <w:spacing w:val="8"/>
          <w:szCs w:val="28"/>
          <w:highlight w:val="none"/>
        </w:rPr>
      </w:pPr>
      <w:r>
        <w:rPr>
          <w:rFonts w:hint="eastAsia" w:ascii="仿宋" w:hAnsi="仿宋" w:eastAsia="仿宋" w:cs="仿宋"/>
          <w:b/>
          <w:bCs/>
          <w:color w:val="auto"/>
          <w:spacing w:val="2"/>
          <w:szCs w:val="28"/>
          <w:highlight w:val="none"/>
          <w:lang w:val="en-US" w:eastAsia="zh-CN"/>
        </w:rPr>
        <w:t>七</w:t>
      </w:r>
      <w:r>
        <w:rPr>
          <w:rFonts w:hint="eastAsia" w:ascii="仿宋" w:hAnsi="仿宋" w:eastAsia="仿宋" w:cs="仿宋"/>
          <w:b/>
          <w:bCs/>
          <w:color w:val="auto"/>
          <w:spacing w:val="2"/>
          <w:szCs w:val="28"/>
          <w:highlight w:val="none"/>
        </w:rPr>
        <w:t>、服务期限：</w:t>
      </w:r>
      <w:r>
        <w:rPr>
          <w:rFonts w:hint="eastAsia" w:ascii="仿宋" w:hAnsi="仿宋" w:eastAsia="仿宋" w:cs="仿宋"/>
          <w:color w:val="auto"/>
          <w:spacing w:val="8"/>
          <w:szCs w:val="28"/>
          <w:highlight w:val="none"/>
        </w:rPr>
        <w:t>合同签订之日起1年，视合同履行服务情况，经比选人商议可续签1次合同。</w:t>
      </w:r>
    </w:p>
    <w:p w14:paraId="33F0E550">
      <w:pPr>
        <w:spacing w:line="520" w:lineRule="exact"/>
        <w:ind w:firstLine="594" w:firstLineChars="200"/>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八</w:t>
      </w:r>
      <w:r>
        <w:rPr>
          <w:rFonts w:hint="eastAsia" w:ascii="仿宋" w:hAnsi="仿宋" w:eastAsia="仿宋" w:cs="仿宋"/>
          <w:b/>
          <w:bCs/>
          <w:color w:val="auto"/>
          <w:spacing w:val="8"/>
          <w:szCs w:val="28"/>
          <w:highlight w:val="none"/>
        </w:rPr>
        <w:t>、服务要求：</w:t>
      </w:r>
    </w:p>
    <w:p w14:paraId="02DA4FFB">
      <w:pPr>
        <w:spacing w:line="520" w:lineRule="exact"/>
        <w:ind w:firstLine="582" w:firstLineChars="200"/>
        <w:rPr>
          <w:rFonts w:hint="eastAsia" w:ascii="仿宋" w:hAnsi="仿宋" w:eastAsia="仿宋" w:cs="仿宋"/>
          <w:b/>
          <w:bCs/>
          <w:color w:val="auto"/>
          <w:spacing w:val="5"/>
          <w:szCs w:val="28"/>
          <w:highlight w:val="none"/>
          <w:lang w:eastAsia="zh-CN"/>
        </w:rPr>
      </w:pPr>
      <w:bookmarkStart w:id="18" w:name="_Toc217814029"/>
      <w:r>
        <w:rPr>
          <w:rFonts w:hint="eastAsia" w:ascii="仿宋" w:hAnsi="仿宋" w:eastAsia="仿宋" w:cs="仿宋"/>
          <w:b/>
          <w:bCs/>
          <w:color w:val="auto"/>
          <w:spacing w:val="5"/>
          <w:szCs w:val="28"/>
          <w:highlight w:val="none"/>
          <w:lang w:val="en-US" w:eastAsia="zh-CN"/>
        </w:rPr>
        <w:t>（一）交付要求</w:t>
      </w:r>
      <w:bookmarkEnd w:id="18"/>
    </w:p>
    <w:p w14:paraId="314CB2B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19" w:name="_Toc217814030"/>
      <w:r>
        <w:rPr>
          <w:rFonts w:hint="eastAsia" w:ascii="仿宋" w:hAnsi="仿宋" w:eastAsia="仿宋" w:cs="仿宋"/>
          <w:color w:val="auto"/>
          <w:spacing w:val="5"/>
          <w:szCs w:val="28"/>
          <w:highlight w:val="none"/>
          <w:lang w:val="en-US" w:eastAsia="zh-CN"/>
        </w:rPr>
        <w:t>1、</w:t>
      </w:r>
      <w:r>
        <w:rPr>
          <w:rFonts w:hint="eastAsia" w:ascii="仿宋" w:hAnsi="仿宋" w:eastAsia="仿宋" w:cs="仿宋"/>
          <w:color w:val="auto"/>
          <w:spacing w:val="5"/>
          <w:szCs w:val="28"/>
          <w:highlight w:val="none"/>
          <w:lang w:eastAsia="zh-CN"/>
        </w:rPr>
        <w:t>交付期</w:t>
      </w:r>
      <w:bookmarkEnd w:id="19"/>
    </w:p>
    <w:p w14:paraId="458B54A8">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rPr>
      </w:pPr>
      <w:r>
        <w:rPr>
          <w:rFonts w:hint="eastAsia" w:ascii="仿宋" w:hAnsi="仿宋" w:eastAsia="仿宋" w:cs="仿宋"/>
          <w:color w:val="auto"/>
          <w:spacing w:val="5"/>
          <w:szCs w:val="28"/>
          <w:highlight w:val="none"/>
          <w:lang w:val="en-US" w:eastAsia="zh-CN"/>
        </w:rPr>
        <w:t>自合同签订之日起30个日历日内交付。</w:t>
      </w:r>
    </w:p>
    <w:p w14:paraId="69D34B8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0" w:name="_Toc217814031"/>
      <w:r>
        <w:rPr>
          <w:rFonts w:hint="eastAsia" w:ascii="仿宋" w:hAnsi="仿宋" w:eastAsia="仿宋" w:cs="仿宋"/>
          <w:color w:val="auto"/>
          <w:spacing w:val="5"/>
          <w:szCs w:val="28"/>
          <w:highlight w:val="none"/>
          <w:lang w:val="en-US" w:eastAsia="zh-CN"/>
        </w:rPr>
        <w:t>2、</w:t>
      </w:r>
      <w:r>
        <w:rPr>
          <w:rFonts w:hint="eastAsia" w:ascii="仿宋" w:hAnsi="仿宋" w:eastAsia="仿宋" w:cs="仿宋"/>
          <w:color w:val="auto"/>
          <w:spacing w:val="5"/>
          <w:szCs w:val="28"/>
          <w:highlight w:val="none"/>
          <w:lang w:eastAsia="zh-CN"/>
        </w:rPr>
        <w:t>交付物</w:t>
      </w:r>
      <w:bookmarkEnd w:id="20"/>
    </w:p>
    <w:p w14:paraId="4C3EE29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现场交付并提交相关交付物。本项目主要交付成果（包括但不限于）如下：</w:t>
      </w:r>
    </w:p>
    <w:p w14:paraId="0A975A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（1）项目实施计划</w:t>
      </w:r>
    </w:p>
    <w:p w14:paraId="2F2B22E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（2）项目需求说明书</w:t>
      </w:r>
    </w:p>
    <w:p w14:paraId="572CF25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（3）系统总体方案</w:t>
      </w:r>
    </w:p>
    <w:p w14:paraId="010F6D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（4）系统设计文档</w:t>
      </w:r>
    </w:p>
    <w:p w14:paraId="2E10C5C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（5）系统测试报告</w:t>
      </w:r>
    </w:p>
    <w:p w14:paraId="29B3B2E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（6）系统部署文档</w:t>
      </w:r>
    </w:p>
    <w:p w14:paraId="5B3A79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（7）系统维护手册（包括安装、操作、维护、故障排除等说明）</w:t>
      </w:r>
    </w:p>
    <w:p w14:paraId="3255C6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（8）用户使用说明书</w:t>
      </w:r>
    </w:p>
    <w:p w14:paraId="3282155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（9）管理员使用手册</w:t>
      </w:r>
    </w:p>
    <w:p w14:paraId="505DDF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（10）验收报告</w:t>
      </w:r>
    </w:p>
    <w:p w14:paraId="26103B7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80" w:firstLineChars="200"/>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（11）项目源代码</w:t>
      </w:r>
    </w:p>
    <w:p w14:paraId="1039D7CB">
      <w:pPr>
        <w:spacing w:line="520" w:lineRule="exact"/>
        <w:ind w:firstLine="580" w:firstLineChars="200"/>
        <w:rPr>
          <w:rFonts w:hint="eastAsia" w:ascii="仿宋" w:hAnsi="仿宋" w:eastAsia="仿宋" w:cs="仿宋"/>
          <w:color w:val="auto"/>
          <w:spacing w:val="5"/>
          <w:szCs w:val="28"/>
          <w:highlight w:val="none"/>
          <w:lang w:eastAsia="zh-CN"/>
        </w:rPr>
      </w:pPr>
      <w:bookmarkStart w:id="21" w:name="_Toc217814032"/>
      <w:r>
        <w:rPr>
          <w:rFonts w:hint="eastAsia" w:ascii="仿宋" w:hAnsi="仿宋" w:eastAsia="仿宋" w:cs="仿宋"/>
          <w:color w:val="auto"/>
          <w:spacing w:val="5"/>
          <w:szCs w:val="28"/>
          <w:highlight w:val="none"/>
          <w:lang w:val="en-US" w:eastAsia="zh-CN"/>
        </w:rPr>
        <w:t>3、</w:t>
      </w:r>
      <w:r>
        <w:rPr>
          <w:rFonts w:hint="eastAsia" w:ascii="仿宋" w:hAnsi="仿宋" w:eastAsia="仿宋" w:cs="仿宋"/>
          <w:color w:val="auto"/>
          <w:spacing w:val="5"/>
          <w:szCs w:val="28"/>
          <w:highlight w:val="none"/>
          <w:lang w:eastAsia="zh-CN"/>
        </w:rPr>
        <w:t>交付地点</w:t>
      </w:r>
      <w:bookmarkEnd w:id="21"/>
    </w:p>
    <w:p w14:paraId="368DFAFF">
      <w:pPr>
        <w:spacing w:line="520" w:lineRule="exact"/>
        <w:ind w:firstLine="580" w:firstLineChars="200"/>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比选人指定地点。</w:t>
      </w:r>
    </w:p>
    <w:p w14:paraId="08A07E6E">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2" w:name="_Toc217814033"/>
      <w:r>
        <w:rPr>
          <w:rFonts w:hint="eastAsia" w:ascii="仿宋" w:hAnsi="仿宋" w:eastAsia="仿宋" w:cs="仿宋"/>
          <w:b/>
          <w:bCs/>
          <w:color w:val="auto"/>
          <w:spacing w:val="5"/>
          <w:szCs w:val="28"/>
          <w:highlight w:val="none"/>
          <w:lang w:val="en-US" w:eastAsia="zh-CN"/>
        </w:rPr>
        <w:t>（二）人员要求</w:t>
      </w:r>
      <w:bookmarkEnd w:id="22"/>
    </w:p>
    <w:p w14:paraId="0F6724C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1、应为本项目提供技术团队开发，严格按照应答文件中承诺配置人员配置，并及时与比选人交流确认。在合同签订之日起5个工作日内到岗到位提供服务，服务实施时间为合同签订之日起至软件交付结束。</w:t>
      </w:r>
    </w:p>
    <w:p w14:paraId="3A31960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2、项目团队成员应不少于5人，其中包括：服务接口人1名，技术接口人1名，其他团队成员不少于3名。</w:t>
      </w:r>
    </w:p>
    <w:p w14:paraId="6E79D02A">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3" w:name="_Toc217814034"/>
      <w:r>
        <w:rPr>
          <w:rFonts w:hint="eastAsia" w:ascii="仿宋" w:hAnsi="仿宋" w:eastAsia="仿宋" w:cs="仿宋"/>
          <w:b/>
          <w:bCs/>
          <w:color w:val="auto"/>
          <w:spacing w:val="5"/>
          <w:szCs w:val="28"/>
          <w:highlight w:val="none"/>
          <w:lang w:val="en-US" w:eastAsia="zh-CN"/>
        </w:rPr>
        <w:t>（三）售后服务要求</w:t>
      </w:r>
      <w:bookmarkEnd w:id="23"/>
    </w:p>
    <w:p w14:paraId="598A2C8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比选申请人应提供合理、有效的、完整的技术服务体系及保障方案，以保障比选人的日常工作能顺利、高效的完成，满足比选人的业务发展需求。</w:t>
      </w:r>
    </w:p>
    <w:p w14:paraId="4474A1B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（1）质保期： 自项目验收完成后【1】年。</w:t>
      </w:r>
    </w:p>
    <w:p w14:paraId="5E24F79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（2）在质保期内，比选申请人应向比选人提供全面、有效、及时的技术支持和服务。</w:t>
      </w:r>
    </w:p>
    <w:p w14:paraId="7E12751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在质保期内，如果系统发生故障，比选申请人要调查故障原因并修复直至满足最终验收指标和性能的要求，或者更换整个或部分有缺陷的软件。一般问题（不危及运行）在2小时内处理；重大问题（危及运行）在1小时内处理；特大问题（系统不能正常运行）在1小时内恢复系统运行，并在24小时内解决。应以上都应是免费的。</w:t>
      </w:r>
    </w:p>
    <w:p w14:paraId="5350882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（4）在质保期内，比选申请人应提供 7×24 小时技术支持服务，保证在任何时候比选人都能及时联系到比选申请人的工程师。</w:t>
      </w:r>
    </w:p>
    <w:p w14:paraId="5193D886">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（5）比选申请人应安排不少于1人专职运维服务，运维服务人员须为项目实施团队主要开发成员。（须提供承诺函，未提供则否决应答）</w:t>
      </w:r>
    </w:p>
    <w:p w14:paraId="4D96F030">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（6）比选申请人应提供质保期过后的运维方案，包括服务内容、技术支持方式、故障解决方式等。</w:t>
      </w:r>
    </w:p>
    <w:p w14:paraId="165716F3">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4" w:name="_Toc217814035"/>
      <w:r>
        <w:rPr>
          <w:rFonts w:hint="eastAsia" w:ascii="仿宋" w:hAnsi="仿宋" w:eastAsia="仿宋" w:cs="仿宋"/>
          <w:b/>
          <w:bCs/>
          <w:color w:val="auto"/>
          <w:spacing w:val="5"/>
          <w:szCs w:val="28"/>
          <w:highlight w:val="none"/>
          <w:lang w:val="en-US" w:eastAsia="zh-CN"/>
        </w:rPr>
        <w:t>（三）技术培训要求</w:t>
      </w:r>
      <w:bookmarkEnd w:id="24"/>
    </w:p>
    <w:p w14:paraId="7B5B0ECE">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（1）比选申请人应对比选人相关技术人员进行全面的免费培训，确保比选人相关技术人员能够熟练地对系统进行运行、诊断、维护和管理；确保比选人相关技术人员对其使用的系统能熟练地操作和使用。</w:t>
      </w:r>
    </w:p>
    <w:p w14:paraId="3A00AD02">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（2）培训内容应包括比选申请人所提供的平台功能、相关技术原理、操作使用方法、维护管理方法、二次开发的接口、实际的测试操作练习和现场培训等。</w:t>
      </w:r>
    </w:p>
    <w:p w14:paraId="2665EB77">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（3）比选申请人负责提供培训教材。比选申请人应提出详细的培训内容和培训计划。</w:t>
      </w:r>
    </w:p>
    <w:p w14:paraId="0BA1A398">
      <w:pPr>
        <w:widowControl w:val="0"/>
        <w:spacing w:line="480" w:lineRule="exact"/>
        <w:ind w:firstLine="678"/>
        <w:rPr>
          <w:rFonts w:hint="eastAsia" w:ascii="仿宋" w:hAnsi="仿宋" w:eastAsia="仿宋" w:cs="仿宋"/>
          <w:b/>
          <w:bCs/>
          <w:color w:val="auto"/>
          <w:spacing w:val="5"/>
          <w:szCs w:val="28"/>
          <w:highlight w:val="none"/>
          <w:lang w:val="en-US" w:eastAsia="zh-CN"/>
        </w:rPr>
      </w:pPr>
      <w:bookmarkStart w:id="25" w:name="_Toc217814036"/>
      <w:r>
        <w:rPr>
          <w:rFonts w:hint="eastAsia" w:ascii="仿宋" w:hAnsi="仿宋" w:eastAsia="仿宋" w:cs="仿宋"/>
          <w:b/>
          <w:bCs/>
          <w:color w:val="auto"/>
          <w:spacing w:val="5"/>
          <w:szCs w:val="28"/>
          <w:highlight w:val="none"/>
          <w:lang w:val="en-US" w:eastAsia="zh-CN"/>
        </w:rPr>
        <w:t>（四）其他要求</w:t>
      </w:r>
      <w:bookmarkEnd w:id="25"/>
    </w:p>
    <w:p w14:paraId="0DEE8D3F">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6" w:name="_Toc217814037"/>
      <w:r>
        <w:rPr>
          <w:rFonts w:hint="eastAsia" w:ascii="仿宋" w:hAnsi="仿宋" w:eastAsia="仿宋" w:cs="仿宋"/>
          <w:color w:val="auto"/>
          <w:spacing w:val="5"/>
          <w:szCs w:val="28"/>
          <w:highlight w:val="none"/>
          <w:lang w:val="en-US" w:eastAsia="zh-CN"/>
        </w:rPr>
        <w:t>1、保密要求</w:t>
      </w:r>
      <w:bookmarkEnd w:id="26"/>
    </w:p>
    <w:p w14:paraId="1AF26CB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比选申请人应在应答文件中提供保密承诺书（格式自拟），内容包括但不限于对本项目招标过程中涉及到的全部未向社会公开的信息和技术资料（无论是书面的、口头的、图形的、电子的或其它任何形式）进行严格保密，除参与本次采购的员工外，比选申请人不能将本项目所提供的相关信息和技术资料透露给其它任何人。比选申请人及项目团队人员应分别与比选人签订保密协议，在项目实施过程中履行保密义务，对项目实施中涉及的所有资料、技术文档、数据和信息保密，不得私自留存，未经比选人许可，不得泄露给任何第三方，否则，比选人将保留追究比选申请人和有关人员经济和法律责任的权利。</w:t>
      </w:r>
    </w:p>
    <w:p w14:paraId="193C1C59">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bookmarkStart w:id="27" w:name="_Toc217814038"/>
      <w:r>
        <w:rPr>
          <w:rFonts w:hint="eastAsia" w:ascii="仿宋" w:hAnsi="仿宋" w:eastAsia="仿宋" w:cs="仿宋"/>
          <w:color w:val="auto"/>
          <w:spacing w:val="5"/>
          <w:szCs w:val="28"/>
          <w:highlight w:val="none"/>
          <w:lang w:val="en-US" w:eastAsia="zh-CN"/>
        </w:rPr>
        <w:t>2、项目成果的权利归属</w:t>
      </w:r>
      <w:bookmarkEnd w:id="27"/>
    </w:p>
    <w:p w14:paraId="783108B3">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（1）本项目完成成果的所有权利，包括但不限于知识产权、专利申请权和所有权，归比选人所有。</w:t>
      </w:r>
    </w:p>
    <w:p w14:paraId="3AC5E27B">
      <w:pPr>
        <w:keepNext w:val="0"/>
        <w:keepLines w:val="0"/>
        <w:pageBreakBefore w:val="0"/>
        <w:widowControl w:val="0"/>
        <w:kinsoku/>
        <w:wordWrap/>
        <w:overflowPunct/>
        <w:topLinePunct w:val="0"/>
        <w:autoSpaceDE/>
        <w:autoSpaceDN/>
        <w:bidi w:val="0"/>
        <w:adjustRightInd/>
        <w:snapToGrid/>
        <w:spacing w:line="480" w:lineRule="exact"/>
        <w:ind w:firstLine="678"/>
        <w:textAlignment w:val="auto"/>
        <w:rPr>
          <w:rFonts w:hint="eastAsia" w:ascii="仿宋" w:hAnsi="仿宋" w:eastAsia="仿宋" w:cs="仿宋"/>
          <w:color w:val="auto"/>
          <w:spacing w:val="5"/>
          <w:szCs w:val="28"/>
          <w:highlight w:val="none"/>
          <w:lang w:val="en-US" w:eastAsia="zh-CN"/>
        </w:rPr>
      </w:pPr>
      <w:r>
        <w:rPr>
          <w:rFonts w:hint="eastAsia" w:ascii="仿宋" w:hAnsi="仿宋" w:eastAsia="仿宋" w:cs="仿宋"/>
          <w:color w:val="auto"/>
          <w:spacing w:val="5"/>
          <w:szCs w:val="28"/>
          <w:highlight w:val="none"/>
          <w:lang w:val="en-US" w:eastAsia="zh-CN"/>
        </w:rPr>
        <w:t>（2）比选人利用比选申请人的项目成果所完成的新的技术成果的所有权利，包括但不限于知识产权、专利申请权和所有权，归比选人所有。</w:t>
      </w:r>
    </w:p>
    <w:p w14:paraId="7CDC4B3C">
      <w:pPr>
        <w:keepNext w:val="0"/>
        <w:keepLines w:val="0"/>
        <w:pageBreakBefore w:val="0"/>
        <w:widowControl w:val="0"/>
        <w:kinsoku/>
        <w:wordWrap/>
        <w:overflowPunct/>
        <w:topLinePunct w:val="0"/>
        <w:autoSpaceDE/>
        <w:autoSpaceDN/>
        <w:bidi w:val="0"/>
        <w:adjustRightInd/>
        <w:snapToGrid/>
        <w:spacing w:line="480" w:lineRule="exact"/>
        <w:ind w:firstLine="594" w:firstLineChars="200"/>
        <w:textAlignment w:val="auto"/>
        <w:outlineLvl w:val="1"/>
        <w:rPr>
          <w:rFonts w:hint="eastAsia" w:ascii="仿宋" w:hAnsi="仿宋" w:eastAsia="仿宋" w:cs="仿宋"/>
          <w:b/>
          <w:bCs/>
          <w:color w:val="auto"/>
          <w:spacing w:val="8"/>
          <w:szCs w:val="28"/>
          <w:highlight w:val="none"/>
        </w:rPr>
      </w:pPr>
      <w:r>
        <w:rPr>
          <w:rFonts w:hint="eastAsia" w:ascii="仿宋" w:hAnsi="仿宋" w:eastAsia="仿宋" w:cs="仿宋"/>
          <w:b/>
          <w:bCs/>
          <w:color w:val="auto"/>
          <w:spacing w:val="8"/>
          <w:szCs w:val="28"/>
          <w:highlight w:val="none"/>
          <w:lang w:val="en-US" w:eastAsia="zh-CN"/>
        </w:rPr>
        <w:t>九</w:t>
      </w:r>
      <w:r>
        <w:rPr>
          <w:rFonts w:hint="eastAsia" w:ascii="仿宋" w:hAnsi="仿宋" w:eastAsia="仿宋" w:cs="仿宋"/>
          <w:b/>
          <w:bCs/>
          <w:color w:val="auto"/>
          <w:spacing w:val="8"/>
          <w:szCs w:val="28"/>
          <w:highlight w:val="none"/>
        </w:rPr>
        <w:t>、比选保证金：</w:t>
      </w:r>
      <w:bookmarkStart w:id="28" w:name="_Toc319145206"/>
      <w:r>
        <w:rPr>
          <w:rFonts w:hint="eastAsia" w:ascii="仿宋" w:hAnsi="仿宋" w:eastAsia="仿宋" w:cs="仿宋"/>
          <w:b/>
          <w:bCs/>
          <w:color w:val="auto"/>
          <w:spacing w:val="8"/>
          <w:szCs w:val="28"/>
          <w:highlight w:val="none"/>
        </w:rPr>
        <w:t>不缴纳</w:t>
      </w:r>
    </w:p>
    <w:p w14:paraId="089C9B5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lang w:val="en-US" w:eastAsia="zh-CN"/>
        </w:rPr>
        <w:t>十</w:t>
      </w:r>
      <w:r>
        <w:rPr>
          <w:rFonts w:hint="eastAsia" w:ascii="仿宋" w:hAnsi="仿宋" w:eastAsia="仿宋" w:cs="仿宋"/>
          <w:b/>
          <w:bCs/>
          <w:color w:val="auto"/>
          <w:kern w:val="44"/>
          <w:szCs w:val="28"/>
          <w:highlight w:val="none"/>
        </w:rPr>
        <w:t>、比选有效期：</w:t>
      </w:r>
      <w:r>
        <w:rPr>
          <w:rFonts w:hint="eastAsia" w:ascii="仿宋" w:hAnsi="仿宋" w:eastAsia="仿宋" w:cs="仿宋"/>
          <w:color w:val="auto"/>
          <w:szCs w:val="28"/>
          <w:highlight w:val="none"/>
        </w:rPr>
        <w:t>自比选申请人提交比选申请文件截止之日起计算30天。</w:t>
      </w:r>
    </w:p>
    <w:p w14:paraId="330C979A">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outlineLvl w:val="1"/>
        <w:rPr>
          <w:rFonts w:hint="eastAsia" w:ascii="仿宋" w:hAnsi="仿宋" w:eastAsia="仿宋" w:cs="仿宋"/>
          <w:b/>
          <w:bCs/>
          <w:color w:val="auto"/>
          <w:kern w:val="44"/>
          <w:szCs w:val="28"/>
          <w:highlight w:val="none"/>
        </w:rPr>
      </w:pPr>
      <w:r>
        <w:rPr>
          <w:rFonts w:hint="eastAsia" w:ascii="仿宋" w:hAnsi="仿宋" w:eastAsia="仿宋" w:cs="仿宋"/>
          <w:b/>
          <w:bCs/>
          <w:color w:val="auto"/>
          <w:kern w:val="44"/>
          <w:szCs w:val="28"/>
          <w:highlight w:val="none"/>
        </w:rPr>
        <w:t>十</w:t>
      </w:r>
      <w:r>
        <w:rPr>
          <w:rFonts w:hint="eastAsia" w:ascii="仿宋" w:hAnsi="仿宋" w:eastAsia="仿宋" w:cs="仿宋"/>
          <w:b/>
          <w:bCs/>
          <w:color w:val="auto"/>
          <w:kern w:val="44"/>
          <w:szCs w:val="28"/>
          <w:highlight w:val="none"/>
          <w:lang w:val="en-US" w:eastAsia="zh-CN"/>
        </w:rPr>
        <w:t>一</w:t>
      </w:r>
      <w:r>
        <w:rPr>
          <w:rFonts w:hint="eastAsia" w:ascii="仿宋" w:hAnsi="仿宋" w:eastAsia="仿宋" w:cs="仿宋"/>
          <w:b/>
          <w:bCs/>
          <w:color w:val="auto"/>
          <w:kern w:val="44"/>
          <w:szCs w:val="28"/>
          <w:highlight w:val="none"/>
        </w:rPr>
        <w:t>、比选报价说明</w:t>
      </w:r>
      <w:bookmarkEnd w:id="28"/>
      <w:r>
        <w:rPr>
          <w:rFonts w:hint="eastAsia" w:ascii="仿宋" w:hAnsi="仿宋" w:eastAsia="仿宋" w:cs="仿宋"/>
          <w:b/>
          <w:bCs/>
          <w:color w:val="auto"/>
          <w:kern w:val="44"/>
          <w:szCs w:val="28"/>
          <w:highlight w:val="none"/>
        </w:rPr>
        <w:t>及代理服务费</w:t>
      </w:r>
    </w:p>
    <w:p w14:paraId="542FDE0B">
      <w:pPr>
        <w:pStyle w:val="2"/>
        <w:spacing w:after="0" w:line="579" w:lineRule="exact"/>
        <w:ind w:firstLine="560" w:firstLineChars="200"/>
        <w:rPr>
          <w:rFonts w:ascii="Times New Roman" w:hAnsi="Times New Roman" w:eastAsia="仿宋"/>
          <w:color w:val="auto"/>
          <w:szCs w:val="28"/>
          <w:highlight w:val="none"/>
          <w:lang w:eastAsia="zh-CN"/>
        </w:rPr>
      </w:pPr>
      <w:r>
        <w:rPr>
          <w:rFonts w:hint="eastAsia" w:ascii="Times New Roman" w:hAnsi="Times New Roman" w:eastAsia="仿宋"/>
          <w:color w:val="auto"/>
          <w:szCs w:val="28"/>
          <w:highlight w:val="none"/>
          <w:lang w:val="en-US" w:eastAsia="zh-CN"/>
        </w:rPr>
        <w:t>11.1</w:t>
      </w:r>
      <w:r>
        <w:rPr>
          <w:rFonts w:ascii="Times New Roman" w:hAnsi="Times New Roman" w:eastAsia="仿宋"/>
          <w:color w:val="auto"/>
          <w:szCs w:val="28"/>
          <w:highlight w:val="none"/>
        </w:rPr>
        <w:t>最高限价为：人民币（大写</w:t>
      </w:r>
      <w:r>
        <w:rPr>
          <w:rFonts w:hint="eastAsia" w:ascii="Times New Roman" w:hAnsi="Times New Roman" w:eastAsia="仿宋"/>
          <w:color w:val="auto"/>
          <w:szCs w:val="28"/>
          <w:highlight w:val="none"/>
          <w:u w:val="single"/>
          <w:lang w:val="en-US" w:eastAsia="zh-CN"/>
        </w:rPr>
        <w:t>贰拾玖万</w:t>
      </w:r>
      <w:r>
        <w:rPr>
          <w:rFonts w:ascii="Times New Roman" w:hAnsi="Times New Roman" w:eastAsia="仿宋"/>
          <w:color w:val="auto"/>
          <w:szCs w:val="28"/>
          <w:highlight w:val="none"/>
          <w:u w:val="single"/>
          <w:lang w:val="en-US" w:eastAsia="zh-CN"/>
        </w:rPr>
        <w:t xml:space="preserve">元整 </w:t>
      </w:r>
      <w:r>
        <w:rPr>
          <w:rFonts w:ascii="Times New Roman" w:hAnsi="Times New Roman" w:eastAsia="仿宋"/>
          <w:color w:val="auto"/>
          <w:szCs w:val="28"/>
          <w:highlight w:val="none"/>
          <w:lang w:eastAsia="zh-CN"/>
        </w:rPr>
        <w:t>（</w:t>
      </w:r>
      <w:r>
        <w:rPr>
          <w:rFonts w:hint="eastAsia" w:ascii="Times New Roman" w:hAnsi="Times New Roman" w:eastAsia="仿宋"/>
          <w:color w:val="auto"/>
          <w:szCs w:val="28"/>
          <w:highlight w:val="none"/>
          <w:u w:val="single"/>
          <w:lang w:val="en-US" w:eastAsia="zh-CN"/>
        </w:rPr>
        <w:t>290000.00</w:t>
      </w:r>
      <w:r>
        <w:rPr>
          <w:rFonts w:ascii="Times New Roman" w:hAnsi="Times New Roman" w:eastAsia="仿宋"/>
          <w:color w:val="auto"/>
          <w:szCs w:val="28"/>
          <w:highlight w:val="none"/>
          <w:lang w:val="en-US" w:eastAsia="zh-CN"/>
        </w:rPr>
        <w:t>元</w:t>
      </w:r>
      <w:r>
        <w:rPr>
          <w:rFonts w:ascii="Times New Roman" w:hAnsi="Times New Roman" w:eastAsia="仿宋"/>
          <w:color w:val="auto"/>
          <w:szCs w:val="28"/>
          <w:highlight w:val="none"/>
          <w:lang w:eastAsia="zh-CN"/>
        </w:rPr>
        <w:t>）。</w:t>
      </w:r>
    </w:p>
    <w:p w14:paraId="53FB3373">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1</w:t>
      </w:r>
      <w:r>
        <w:rPr>
          <w:rFonts w:ascii="Times New Roman" w:hAnsi="Times New Roman" w:eastAsia="仿宋"/>
          <w:color w:val="auto"/>
          <w:szCs w:val="28"/>
          <w:highlight w:val="none"/>
        </w:rPr>
        <w:t>.</w:t>
      </w:r>
      <w:r>
        <w:rPr>
          <w:rFonts w:hint="eastAsia" w:ascii="Times New Roman" w:hAnsi="Times New Roman" w:eastAsia="仿宋"/>
          <w:color w:val="auto"/>
          <w:szCs w:val="28"/>
          <w:highlight w:val="none"/>
        </w:rPr>
        <w:t>2</w:t>
      </w:r>
      <w:r>
        <w:rPr>
          <w:rFonts w:ascii="Times New Roman" w:hAnsi="Times New Roman" w:eastAsia="仿宋"/>
          <w:color w:val="auto"/>
          <w:szCs w:val="28"/>
          <w:highlight w:val="none"/>
        </w:rPr>
        <w:t>比选申请人根据项目实际情况及企业自身经营状况，结合企业能力水平和经验自主报价，只能有一个有效报价。</w:t>
      </w:r>
    </w:p>
    <w:p w14:paraId="6DD108DB">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3</w:t>
      </w:r>
      <w:r>
        <w:rPr>
          <w:rFonts w:ascii="Times New Roman" w:hAnsi="Times New Roman" w:eastAsia="仿宋" w:cs="Times New Roman"/>
          <w:color w:val="auto"/>
          <w:sz w:val="28"/>
          <w:szCs w:val="28"/>
          <w:highlight w:val="none"/>
        </w:rPr>
        <w:t>比选申请人的报价应包括但不限于完成本项目合同约定工作内容所发生的成本、利润、管理费、税金、风险费、评审费、延期补偿费等全部费用；</w:t>
      </w:r>
    </w:p>
    <w:p w14:paraId="61BBCED9">
      <w:pPr>
        <w:pStyle w:val="21"/>
        <w:spacing w:line="48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11.4费用支付：在平台搭建完成进入试用阶段支付65%，试用阶段完成验收后支付30%，剩余5%作为保证金在验收完成6个月后支付。</w:t>
      </w:r>
    </w:p>
    <w:p w14:paraId="1460A534">
      <w:pPr>
        <w:pStyle w:val="21"/>
        <w:spacing w:line="480" w:lineRule="exact"/>
        <w:ind w:firstLine="560" w:firstLineChars="200"/>
        <w:rPr>
          <w:rFonts w:ascii="Times New Roman" w:hAnsi="Times New Roman" w:eastAsia="仿宋" w:cs="Times New Roman"/>
          <w:color w:val="auto"/>
          <w:sz w:val="28"/>
          <w:szCs w:val="28"/>
          <w:highlight w:val="none"/>
        </w:rPr>
      </w:pPr>
      <w:r>
        <w:rPr>
          <w:rFonts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rPr>
        <w:t>4</w:t>
      </w:r>
      <w:r>
        <w:rPr>
          <w:rFonts w:ascii="Times New Roman" w:hAnsi="Times New Roman" w:eastAsia="仿宋" w:cs="Times New Roman"/>
          <w:color w:val="auto"/>
          <w:sz w:val="28"/>
          <w:szCs w:val="28"/>
          <w:highlight w:val="none"/>
        </w:rPr>
        <w:t>比选代理服务费：大写：</w:t>
      </w:r>
      <w:r>
        <w:rPr>
          <w:rFonts w:hint="eastAsia" w:ascii="Times New Roman" w:hAnsi="Times New Roman" w:eastAsia="仿宋" w:cs="Times New Roman"/>
          <w:b/>
          <w:bCs/>
          <w:color w:val="auto"/>
          <w:sz w:val="28"/>
          <w:szCs w:val="28"/>
          <w:highlight w:val="none"/>
          <w:lang w:val="en-US" w:eastAsia="zh-CN"/>
        </w:rPr>
        <w:t>叁仟元</w:t>
      </w:r>
      <w:r>
        <w:rPr>
          <w:rFonts w:ascii="Times New Roman" w:hAnsi="Times New Roman" w:eastAsia="仿宋" w:cs="Times New Roman"/>
          <w:b/>
          <w:bCs/>
          <w:color w:val="auto"/>
          <w:sz w:val="28"/>
          <w:szCs w:val="28"/>
          <w:highlight w:val="none"/>
        </w:rPr>
        <w:t>整（小写：</w:t>
      </w:r>
      <w:r>
        <w:rPr>
          <w:rFonts w:hint="eastAsia" w:ascii="Times New Roman" w:hAnsi="Times New Roman" w:eastAsia="仿宋" w:cs="Times New Roman"/>
          <w:b/>
          <w:bCs/>
          <w:color w:val="auto"/>
          <w:sz w:val="28"/>
          <w:szCs w:val="28"/>
          <w:highlight w:val="none"/>
          <w:lang w:val="en-US" w:eastAsia="zh-CN"/>
        </w:rPr>
        <w:t>3000</w:t>
      </w:r>
      <w:r>
        <w:rPr>
          <w:rFonts w:hint="eastAsia" w:ascii="Times New Roman" w:hAnsi="Times New Roman" w:eastAsia="仿宋" w:cs="Times New Roman"/>
          <w:b/>
          <w:bCs/>
          <w:color w:val="auto"/>
          <w:sz w:val="28"/>
          <w:szCs w:val="28"/>
          <w:highlight w:val="none"/>
        </w:rPr>
        <w:t xml:space="preserve"> </w:t>
      </w:r>
      <w:r>
        <w:rPr>
          <w:rFonts w:ascii="Times New Roman" w:hAnsi="Times New Roman" w:eastAsia="仿宋" w:cs="Times New Roman"/>
          <w:b/>
          <w:bCs/>
          <w:color w:val="auto"/>
          <w:sz w:val="28"/>
          <w:szCs w:val="28"/>
          <w:highlight w:val="none"/>
        </w:rPr>
        <w:t>元）</w:t>
      </w:r>
      <w:r>
        <w:rPr>
          <w:rFonts w:ascii="Times New Roman" w:hAnsi="Times New Roman" w:eastAsia="仿宋" w:cs="Times New Roman"/>
          <w:color w:val="auto"/>
          <w:sz w:val="28"/>
          <w:szCs w:val="28"/>
          <w:highlight w:val="none"/>
        </w:rPr>
        <w:t>。由中标人支付。</w:t>
      </w:r>
    </w:p>
    <w:p w14:paraId="28B7C55F">
      <w:pPr>
        <w:pStyle w:val="25"/>
        <w:spacing w:line="500" w:lineRule="exact"/>
        <w:ind w:firstLine="562"/>
        <w:rPr>
          <w:rFonts w:ascii="Times New Roman" w:hAnsi="Times New Roman" w:eastAsia="仿宋_GB2312"/>
          <w:b/>
          <w:color w:val="auto"/>
          <w:sz w:val="28"/>
          <w:szCs w:val="28"/>
          <w:highlight w:val="none"/>
        </w:rPr>
      </w:pPr>
      <w:r>
        <w:rPr>
          <w:rFonts w:ascii="Times New Roman" w:hAnsi="Times New Roman" w:eastAsia="仿宋_GB2312"/>
          <w:b/>
          <w:color w:val="auto"/>
          <w:sz w:val="28"/>
          <w:szCs w:val="28"/>
          <w:highlight w:val="none"/>
        </w:rPr>
        <w:t>代理服务费由中标单位帐户转入，转帐后在税务系统自行下载发票。</w:t>
      </w:r>
    </w:p>
    <w:p w14:paraId="71B7223B">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账户名称：凉山交投工程规划设计管理有限公司</w:t>
      </w:r>
    </w:p>
    <w:p w14:paraId="2FD895AC">
      <w:pPr>
        <w:spacing w:line="500" w:lineRule="exact"/>
        <w:ind w:firstLine="562" w:firstLineChars="200"/>
        <w:jc w:val="left"/>
        <w:rPr>
          <w:rFonts w:hint="eastAsia" w:ascii="Times New Roman" w:hAnsi="Times New Roman" w:eastAsia="仿宋_GB2312"/>
          <w:b/>
          <w:color w:val="auto"/>
          <w:szCs w:val="28"/>
          <w:highlight w:val="none"/>
          <w:lang w:val="en-US" w:eastAsia="zh-CN"/>
        </w:rPr>
      </w:pPr>
      <w:r>
        <w:rPr>
          <w:rFonts w:ascii="Times New Roman" w:hAnsi="Times New Roman" w:eastAsia="仿宋_GB2312"/>
          <w:b/>
          <w:color w:val="auto"/>
          <w:szCs w:val="28"/>
          <w:highlight w:val="none"/>
        </w:rPr>
        <w:t>开户银行：中国邮政储蓄银行股份有限公司西昌市支行</w:t>
      </w:r>
      <w:r>
        <w:rPr>
          <w:rFonts w:hint="eastAsia" w:ascii="Times New Roman" w:hAnsi="Times New Roman" w:eastAsia="仿宋_GB2312"/>
          <w:b/>
          <w:color w:val="auto"/>
          <w:szCs w:val="28"/>
          <w:highlight w:val="none"/>
          <w:lang w:val="en-US" w:eastAsia="zh-CN"/>
        </w:rPr>
        <w:t>营业部</w:t>
      </w:r>
    </w:p>
    <w:p w14:paraId="14220D04">
      <w:pPr>
        <w:spacing w:line="500" w:lineRule="exact"/>
        <w:ind w:firstLine="562" w:firstLineChars="200"/>
        <w:jc w:val="left"/>
        <w:rPr>
          <w:rFonts w:ascii="Times New Roman" w:hAnsi="Times New Roman" w:eastAsia="仿宋_GB2312"/>
          <w:b/>
          <w:color w:val="auto"/>
          <w:szCs w:val="28"/>
          <w:highlight w:val="none"/>
        </w:rPr>
      </w:pPr>
      <w:r>
        <w:rPr>
          <w:rFonts w:ascii="Times New Roman" w:hAnsi="Times New Roman" w:eastAsia="仿宋_GB2312"/>
          <w:b/>
          <w:color w:val="auto"/>
          <w:szCs w:val="28"/>
          <w:highlight w:val="none"/>
        </w:rPr>
        <w:t>银行账户：951000010005068935（转账时请备注项目名称）</w:t>
      </w:r>
    </w:p>
    <w:p w14:paraId="10413C6E">
      <w:pPr>
        <w:spacing w:line="500" w:lineRule="exact"/>
        <w:ind w:firstLine="560" w:firstLineChars="200"/>
        <w:jc w:val="left"/>
        <w:outlineLvl w:val="1"/>
        <w:rPr>
          <w:rFonts w:ascii="Times New Roman" w:hAnsi="Times New Roman"/>
          <w:b/>
          <w:bCs/>
          <w:color w:val="auto"/>
          <w:kern w:val="44"/>
          <w:szCs w:val="28"/>
          <w:highlight w:val="none"/>
        </w:rPr>
      </w:pPr>
      <w:bookmarkStart w:id="29" w:name="_Toc157235904"/>
      <w:bookmarkStart w:id="30" w:name="_Toc170621205"/>
      <w:bookmarkStart w:id="31" w:name="_Toc319145207"/>
      <w:bookmarkStart w:id="32" w:name="_Toc170621337"/>
      <w:bookmarkStart w:id="33" w:name="_Toc187120143"/>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二</w:t>
      </w:r>
      <w:r>
        <w:rPr>
          <w:rFonts w:ascii="Times New Roman" w:hAnsi="Times New Roman"/>
          <w:b/>
          <w:bCs/>
          <w:color w:val="auto"/>
          <w:kern w:val="44"/>
          <w:szCs w:val="28"/>
          <w:highlight w:val="none"/>
        </w:rPr>
        <w:t>、比选申请文件的编制要求</w:t>
      </w:r>
      <w:bookmarkEnd w:id="29"/>
      <w:bookmarkEnd w:id="30"/>
      <w:bookmarkEnd w:id="31"/>
      <w:bookmarkEnd w:id="32"/>
      <w:bookmarkEnd w:id="33"/>
    </w:p>
    <w:p w14:paraId="355B5732">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.1比选申请文件应对比选文件提出的所有实质性要求和条件作出实质性响应，并且实质性响应的内容不得互相矛盾。</w:t>
      </w:r>
    </w:p>
    <w:p w14:paraId="657CD99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.2比选申请文件应内容完整，字迹清晰可辨。比选申请文件（包括所附证明材料）字迹或印章模糊导致无法确认关键技术方案、关键工期、关键工程质量保证措施、比选价格的，应作无效比选处理。</w:t>
      </w:r>
    </w:p>
    <w:p w14:paraId="0A7B6468">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.3比选申请文件所附证明材料应内容完整并清晰可辨。所附证明材料内容不完整或字迹、印章模糊的，评标委员会应要求比选申请人提供原件核验。</w:t>
      </w:r>
    </w:p>
    <w:p w14:paraId="6C7436B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.4比选申请文件格式中明确要求签字的地方都应用不褪色的墨水或签字笔由本人亲笔手写签字（包括姓和名），不得用印章、签名章、或电子版章代替，也不得由他人代签。</w:t>
      </w:r>
    </w:p>
    <w:p w14:paraId="2342341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.5比选申请文件格式上所有要求盖章的地方都须加盖比选申请人单位（法定名称）章（鲜章）,不得使用专用印章（如经济合同章、投标专用章等）或下属单位印章代替，单位章内容须与单位营业执照名称一致。</w:t>
      </w:r>
    </w:p>
    <w:p w14:paraId="35973CD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6比选申请文件格式中要求比选申请人“法定代表人或其委托代理人”签字的，如法定代表人亲自比选而不委托代理人比选，由法定代表人签字；如法定代表人授权委托代理人比选，由委托代理人签字，也可由法定代表人签字。</w:t>
      </w:r>
    </w:p>
    <w:p w14:paraId="6A02FE0D">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.7法定代表人身份证明、授权委托书（如有）应符合第五章“比选申请文件格式”的要求。比选申请文件不需要逐页小签。</w:t>
      </w:r>
    </w:p>
    <w:p w14:paraId="2053247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2</w:t>
      </w:r>
      <w:r>
        <w:rPr>
          <w:rFonts w:ascii="Times New Roman" w:hAnsi="Times New Roman" w:eastAsia="仿宋"/>
          <w:color w:val="auto"/>
          <w:szCs w:val="28"/>
          <w:highlight w:val="none"/>
        </w:rPr>
        <w:t>.8比选申请文件的份数：</w:t>
      </w:r>
      <w:r>
        <w:rPr>
          <w:rFonts w:ascii="Times New Roman" w:hAnsi="Times New Roman" w:eastAsia="仿宋"/>
          <w:b/>
          <w:bCs/>
          <w:color w:val="auto"/>
          <w:szCs w:val="28"/>
          <w:highlight w:val="none"/>
        </w:rPr>
        <w:t>正本一份、副本</w:t>
      </w:r>
      <w:r>
        <w:rPr>
          <w:rFonts w:hint="eastAsia" w:ascii="Times New Roman" w:hAnsi="Times New Roman" w:eastAsia="仿宋"/>
          <w:b/>
          <w:bCs/>
          <w:color w:val="auto"/>
          <w:szCs w:val="28"/>
          <w:highlight w:val="none"/>
        </w:rPr>
        <w:t>一</w:t>
      </w:r>
      <w:r>
        <w:rPr>
          <w:rFonts w:ascii="Times New Roman" w:hAnsi="Times New Roman" w:eastAsia="仿宋"/>
          <w:b/>
          <w:bCs/>
          <w:color w:val="auto"/>
          <w:szCs w:val="28"/>
          <w:highlight w:val="none"/>
        </w:rPr>
        <w:t>份</w:t>
      </w:r>
      <w:r>
        <w:rPr>
          <w:rFonts w:ascii="Times New Roman" w:hAnsi="Times New Roman" w:eastAsia="仿宋"/>
          <w:color w:val="auto"/>
          <w:szCs w:val="28"/>
          <w:highlight w:val="none"/>
        </w:rPr>
        <w:t>。副本可以是正本的复印件或影印件，正副本均应采用粘贴或装订方式分别装订成册。比选文件要求附原件的资料，应一律附于比选申请文件“正本”内。修改的比选申请文件的装订也应按本要求办理。比选申请文件应在封面注明“正本”或“副本”字样，当正副本不一致时以正本为准；</w:t>
      </w:r>
    </w:p>
    <w:p w14:paraId="43A5D7B5">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所有比选申请文件应密封完好，封口处应加盖单位公章或法定代表人印章。外包装上还应写明：</w:t>
      </w:r>
    </w:p>
    <w:p w14:paraId="469AEFFC">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（1）比选项目名称；</w:t>
      </w:r>
    </w:p>
    <w:p w14:paraId="1B42D3F1">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（2）比选申请人名称、地址；</w:t>
      </w:r>
    </w:p>
    <w:p w14:paraId="18EF127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w:t>
      </w:r>
      <w:r>
        <w:rPr>
          <w:rFonts w:hint="eastAsia" w:ascii="Times New Roman" w:hAnsi="Times New Roman" w:eastAsia="仿宋"/>
          <w:color w:val="auto"/>
          <w:szCs w:val="28"/>
          <w:highlight w:val="none"/>
          <w:lang w:val="en-US" w:eastAsia="zh-CN"/>
        </w:rPr>
        <w:t xml:space="preserve">    </w:t>
      </w:r>
      <w:r>
        <w:rPr>
          <w:rFonts w:ascii="Times New Roman" w:hAnsi="Times New Roman" w:eastAsia="仿宋"/>
          <w:color w:val="auto"/>
          <w:szCs w:val="28"/>
          <w:highlight w:val="none"/>
        </w:rPr>
        <w:t>年 月 日 时  分前不得拆封”字样。</w:t>
      </w:r>
    </w:p>
    <w:p w14:paraId="3BAC6E6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逾期送达的、未送达指定地点的或不按照比选文件要求密封的比选申请文件，比选人将予以拒收。</w:t>
      </w:r>
    </w:p>
    <w:p w14:paraId="7A4F57B7">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三</w:t>
      </w:r>
      <w:r>
        <w:rPr>
          <w:rFonts w:ascii="Times New Roman" w:hAnsi="Times New Roman"/>
          <w:b/>
          <w:bCs/>
          <w:color w:val="auto"/>
          <w:kern w:val="44"/>
          <w:szCs w:val="28"/>
          <w:highlight w:val="none"/>
        </w:rPr>
        <w:t>、比选有效期：</w:t>
      </w:r>
      <w:r>
        <w:rPr>
          <w:rFonts w:ascii="Times New Roman" w:hAnsi="Times New Roman" w:eastAsia="仿宋"/>
          <w:color w:val="auto"/>
          <w:szCs w:val="28"/>
          <w:highlight w:val="none"/>
        </w:rPr>
        <w:t>自比选申请人提交比选申请文件截止之日起计算30天</w:t>
      </w:r>
    </w:p>
    <w:p w14:paraId="17C5F40F">
      <w:pPr>
        <w:spacing w:line="500" w:lineRule="exact"/>
        <w:ind w:firstLine="560" w:firstLineChars="200"/>
        <w:jc w:val="left"/>
        <w:outlineLvl w:val="1"/>
        <w:rPr>
          <w:rFonts w:hint="eastAsia"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四</w:t>
      </w:r>
      <w:r>
        <w:rPr>
          <w:rFonts w:ascii="Times New Roman" w:hAnsi="Times New Roman"/>
          <w:b/>
          <w:bCs/>
          <w:color w:val="auto"/>
          <w:kern w:val="44"/>
          <w:szCs w:val="28"/>
          <w:highlight w:val="none"/>
        </w:rPr>
        <w:t>、比选</w:t>
      </w:r>
    </w:p>
    <w:p w14:paraId="41735D59">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.1比选人按比选文件规定的比选截止时间（开标时间）和地点对比选申请文件公开比选，并邀请所有比选申请人的法定代表人或其委托代理人准时参加；</w:t>
      </w:r>
    </w:p>
    <w:p w14:paraId="746C7194">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.2按规定提交合格的撤回通知的比选申请文件不予开封，并退还给比选申请人；</w:t>
      </w:r>
    </w:p>
    <w:p w14:paraId="1F31F1BE">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.3按照比选申请人签到顺序当众开标，公布标段名称、比选申请人名称、投标保证金的递交情况、投标报价及其他内容等，并记录在案；</w:t>
      </w:r>
    </w:p>
    <w:p w14:paraId="0604223B">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.4比选申请人代表、比选人代表、记录人等有关人员在开标记录上签字确认；</w:t>
      </w:r>
    </w:p>
    <w:p w14:paraId="4685429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4</w:t>
      </w:r>
      <w:r>
        <w:rPr>
          <w:rFonts w:hint="eastAsia" w:ascii="仿宋" w:hAnsi="仿宋" w:eastAsia="仿宋" w:cs="仿宋"/>
          <w:color w:val="auto"/>
          <w:szCs w:val="28"/>
          <w:highlight w:val="none"/>
        </w:rPr>
        <w:t>.5比选申请人按比选文件规定递交了比选申请文件，不参加开标会或在开标会中途退场的，视为认可开标结果，事后不应再对开标程序的公正合法性等提出质疑或异议。</w:t>
      </w:r>
    </w:p>
    <w:p w14:paraId="666DC69C">
      <w:pPr>
        <w:spacing w:line="500" w:lineRule="exact"/>
        <w:ind w:firstLine="560" w:firstLineChars="200"/>
        <w:jc w:val="left"/>
        <w:outlineLvl w:val="1"/>
        <w:rPr>
          <w:rFonts w:ascii="Times New Roman" w:hAnsi="Times New Roman" w:eastAsia="仿宋"/>
          <w:color w:val="auto"/>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五</w:t>
      </w:r>
      <w:r>
        <w:rPr>
          <w:rFonts w:ascii="Times New Roman" w:hAnsi="Times New Roman"/>
          <w:b/>
          <w:bCs/>
          <w:color w:val="auto"/>
          <w:kern w:val="44"/>
          <w:szCs w:val="28"/>
          <w:highlight w:val="none"/>
        </w:rPr>
        <w:t>、评审：</w:t>
      </w:r>
      <w:r>
        <w:rPr>
          <w:rFonts w:ascii="Times New Roman" w:hAnsi="Times New Roman" w:eastAsia="仿宋"/>
          <w:color w:val="auto"/>
          <w:szCs w:val="28"/>
          <w:highlight w:val="none"/>
        </w:rPr>
        <w:t>评审活动遵循公平、公正、科学和择优的原则。</w:t>
      </w:r>
    </w:p>
    <w:p w14:paraId="70DE1247">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.1评审由比选人依法组建的评审委员会负责。评审委员会由比选人或其委托的比选代理机构熟悉相关业务的代表，以及有关技术、经济等方面的专家组成。评标委员会构成：</w:t>
      </w:r>
      <w:r>
        <w:rPr>
          <w:rFonts w:hint="eastAsia" w:ascii="Times New Roman" w:hAnsi="Times New Roman" w:eastAsia="仿宋"/>
          <w:color w:val="auto"/>
          <w:szCs w:val="28"/>
          <w:highlight w:val="none"/>
        </w:rPr>
        <w:t>3</w:t>
      </w:r>
      <w:r>
        <w:rPr>
          <w:rFonts w:ascii="Times New Roman" w:hAnsi="Times New Roman" w:eastAsia="仿宋"/>
          <w:color w:val="auto"/>
          <w:szCs w:val="28"/>
          <w:highlight w:val="none"/>
        </w:rPr>
        <w:t>人，其中业主代表1人。</w:t>
      </w:r>
    </w:p>
    <w:p w14:paraId="249BC0D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.2评审委员会按照第三章“比选办法”规定的方法、评审因素、标准和程序对比选申请文件进行评审。第三章“比选办法”没有规定的方法、评审因素和标准，不作为评评审依据。</w:t>
      </w:r>
    </w:p>
    <w:p w14:paraId="4CF4F410">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5</w:t>
      </w:r>
      <w:r>
        <w:rPr>
          <w:rFonts w:ascii="Times New Roman" w:hAnsi="Times New Roman" w:eastAsia="仿宋"/>
          <w:color w:val="auto"/>
          <w:szCs w:val="28"/>
          <w:highlight w:val="none"/>
        </w:rPr>
        <w:t>.3评审完成后，评审委员会应当向比选人提交书面评审报告和中选候选人名单。评审委员会推荐中标候选人的人数：1—3名。</w:t>
      </w:r>
    </w:p>
    <w:p w14:paraId="24629F60">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六</w:t>
      </w:r>
      <w:r>
        <w:rPr>
          <w:rFonts w:ascii="Times New Roman" w:hAnsi="Times New Roman"/>
          <w:b/>
          <w:bCs/>
          <w:color w:val="auto"/>
          <w:kern w:val="44"/>
          <w:szCs w:val="28"/>
          <w:highlight w:val="none"/>
        </w:rPr>
        <w:t>、合同授予</w:t>
      </w:r>
    </w:p>
    <w:p w14:paraId="0992413F">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.1中选候选人公示：比选人在收到评审报告之日起3日内，按照比选公告规定的公示媒介和期限公示中选候选人，公示期不得少于3日。</w:t>
      </w:r>
    </w:p>
    <w:p w14:paraId="1479346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.2比选人将确定排名第1的比选申请人为中选人。排名在前的中选人因不可抗力提出不能履行合同的，比选人可以确定相同标段排名次之的为中选人，并以相同标段</w:t>
      </w:r>
      <w:r>
        <w:rPr>
          <w:rFonts w:hint="eastAsia" w:ascii="Times New Roman" w:hAnsi="Times New Roman" w:eastAsia="仿宋"/>
          <w:color w:val="auto"/>
          <w:szCs w:val="28"/>
          <w:highlight w:val="none"/>
        </w:rPr>
        <w:t>有利于于比选人的</w:t>
      </w:r>
      <w:r>
        <w:rPr>
          <w:rFonts w:ascii="Times New Roman" w:hAnsi="Times New Roman" w:eastAsia="仿宋"/>
          <w:color w:val="auto"/>
          <w:szCs w:val="28"/>
          <w:highlight w:val="none"/>
        </w:rPr>
        <w:t>报价签订合同，以此类推。</w:t>
      </w:r>
    </w:p>
    <w:p w14:paraId="2A5E4871">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.3中选人应于收到中选通知书之日起1</w:t>
      </w:r>
      <w:r>
        <w:rPr>
          <w:rFonts w:hint="eastAsia" w:ascii="Times New Roman" w:hAnsi="Times New Roman" w:eastAsia="仿宋"/>
          <w:color w:val="auto"/>
          <w:szCs w:val="28"/>
          <w:highlight w:val="none"/>
        </w:rPr>
        <w:t>5</w:t>
      </w:r>
      <w:r>
        <w:rPr>
          <w:rFonts w:ascii="Times New Roman" w:hAnsi="Times New Roman" w:eastAsia="仿宋"/>
          <w:color w:val="auto"/>
          <w:szCs w:val="28"/>
          <w:highlight w:val="none"/>
        </w:rPr>
        <w:t>个工作日内，由法定代表人或其授权人与甲方签订合同。合同经双方法定代表人或其授权人签署并加盖公章后生效</w:t>
      </w:r>
      <w:r>
        <w:rPr>
          <w:rFonts w:hint="eastAsia" w:ascii="Times New Roman" w:hAnsi="Times New Roman" w:eastAsia="仿宋"/>
          <w:color w:val="auto"/>
          <w:szCs w:val="28"/>
          <w:highlight w:val="none"/>
        </w:rPr>
        <w:t>。</w:t>
      </w:r>
    </w:p>
    <w:p w14:paraId="57B239D1">
      <w:pPr>
        <w:spacing w:line="52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6</w:t>
      </w:r>
      <w:r>
        <w:rPr>
          <w:rFonts w:ascii="Times New Roman" w:hAnsi="Times New Roman" w:eastAsia="仿宋"/>
          <w:color w:val="auto"/>
          <w:szCs w:val="28"/>
          <w:highlight w:val="none"/>
        </w:rPr>
        <w:t>.4比选人和中选人在签订合同协议书的同时，须按照本比选文件规定的格式和要求签订廉政合同，明确双方在廉政建设方面的权利和义务以及应承担的违约责任</w:t>
      </w:r>
      <w:r>
        <w:rPr>
          <w:rFonts w:hint="eastAsia" w:ascii="Times New Roman" w:hAnsi="Times New Roman" w:eastAsia="仿宋"/>
          <w:color w:val="auto"/>
          <w:szCs w:val="28"/>
          <w:highlight w:val="none"/>
        </w:rPr>
        <w:t>。</w:t>
      </w:r>
    </w:p>
    <w:p w14:paraId="1C59724E">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七</w:t>
      </w:r>
      <w:r>
        <w:rPr>
          <w:rFonts w:ascii="Times New Roman" w:hAnsi="Times New Roman"/>
          <w:b/>
          <w:bCs/>
          <w:color w:val="auto"/>
          <w:kern w:val="44"/>
          <w:szCs w:val="28"/>
          <w:highlight w:val="none"/>
        </w:rPr>
        <w:t>、</w:t>
      </w:r>
      <w:r>
        <w:rPr>
          <w:rFonts w:hint="eastAsia" w:ascii="Times New Roman" w:hAnsi="Times New Roman"/>
          <w:b/>
          <w:bCs/>
          <w:color w:val="auto"/>
          <w:kern w:val="44"/>
          <w:szCs w:val="28"/>
          <w:highlight w:val="none"/>
        </w:rPr>
        <w:t>履约保证金：无</w:t>
      </w:r>
    </w:p>
    <w:p w14:paraId="0E2049CD">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八</w:t>
      </w:r>
      <w:r>
        <w:rPr>
          <w:rFonts w:ascii="Times New Roman" w:hAnsi="Times New Roman"/>
          <w:b/>
          <w:bCs/>
          <w:color w:val="auto"/>
          <w:kern w:val="44"/>
          <w:szCs w:val="28"/>
          <w:highlight w:val="none"/>
        </w:rPr>
        <w:t>、比选人的权利</w:t>
      </w:r>
    </w:p>
    <w:p w14:paraId="64F17A26">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.1比选人保留在授予中选通知书前的任何时候取消本次比选活动以及拒绝所有的比选申请文件的权利，且无须向受影响的比选申请人解释有关原因</w:t>
      </w:r>
      <w:r>
        <w:rPr>
          <w:rFonts w:hint="eastAsia" w:ascii="Times New Roman" w:hAnsi="Times New Roman" w:eastAsia="仿宋"/>
          <w:color w:val="auto"/>
          <w:szCs w:val="28"/>
          <w:highlight w:val="none"/>
        </w:rPr>
        <w:t>。</w:t>
      </w:r>
    </w:p>
    <w:p w14:paraId="6EC77D06">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8</w:t>
      </w:r>
      <w:r>
        <w:rPr>
          <w:rFonts w:ascii="Times New Roman" w:hAnsi="Times New Roman" w:eastAsia="仿宋"/>
          <w:color w:val="auto"/>
          <w:szCs w:val="28"/>
          <w:highlight w:val="none"/>
        </w:rPr>
        <w:t>.2对未中标的比选申请人，比选人将不作任何解释。</w:t>
      </w:r>
    </w:p>
    <w:p w14:paraId="50113E80">
      <w:pPr>
        <w:spacing w:line="500" w:lineRule="exact"/>
        <w:ind w:firstLine="560" w:firstLineChars="200"/>
        <w:jc w:val="left"/>
        <w:outlineLvl w:val="1"/>
        <w:rPr>
          <w:rFonts w:ascii="Times New Roman" w:hAnsi="Times New Roman"/>
          <w:b/>
          <w:bCs/>
          <w:color w:val="auto"/>
          <w:kern w:val="44"/>
          <w:szCs w:val="28"/>
          <w:highlight w:val="none"/>
        </w:rPr>
      </w:pPr>
      <w:r>
        <w:rPr>
          <w:rFonts w:ascii="Times New Roman" w:hAnsi="Times New Roman"/>
          <w:b/>
          <w:bCs/>
          <w:color w:val="auto"/>
          <w:kern w:val="44"/>
          <w:szCs w:val="28"/>
          <w:highlight w:val="none"/>
        </w:rPr>
        <w:t>十</w:t>
      </w:r>
      <w:r>
        <w:rPr>
          <w:rFonts w:hint="eastAsia" w:ascii="Times New Roman" w:hAnsi="Times New Roman"/>
          <w:b/>
          <w:bCs/>
          <w:color w:val="auto"/>
          <w:kern w:val="44"/>
          <w:szCs w:val="28"/>
          <w:highlight w:val="none"/>
          <w:lang w:val="en-US" w:eastAsia="zh-CN"/>
        </w:rPr>
        <w:t>九</w:t>
      </w:r>
      <w:r>
        <w:rPr>
          <w:rFonts w:ascii="Times New Roman" w:hAnsi="Times New Roman"/>
          <w:b/>
          <w:bCs/>
          <w:color w:val="auto"/>
          <w:kern w:val="44"/>
          <w:szCs w:val="28"/>
          <w:highlight w:val="none"/>
        </w:rPr>
        <w:t>、不正当竞争与纪律监督</w:t>
      </w:r>
    </w:p>
    <w:p w14:paraId="4B064908">
      <w:pPr>
        <w:spacing w:line="480" w:lineRule="exact"/>
        <w:ind w:firstLine="560" w:firstLineChars="200"/>
        <w:rPr>
          <w:rFonts w:hint="eastAsia"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9</w:t>
      </w:r>
      <w:r>
        <w:rPr>
          <w:rFonts w:ascii="Times New Roman" w:hAnsi="Times New Roman" w:eastAsia="仿宋"/>
          <w:color w:val="auto"/>
          <w:szCs w:val="28"/>
          <w:highlight w:val="none"/>
        </w:rPr>
        <w:t>.1严禁比选申请人向参与比选、评审工作的有关人员行贿，使其泄露一切与比选、评审工作的有关信息</w:t>
      </w:r>
      <w:r>
        <w:rPr>
          <w:rFonts w:hint="eastAsia" w:ascii="Times New Roman" w:hAnsi="Times New Roman" w:eastAsia="仿宋"/>
          <w:color w:val="auto"/>
          <w:szCs w:val="28"/>
          <w:highlight w:val="none"/>
        </w:rPr>
        <w:t>。</w:t>
      </w:r>
    </w:p>
    <w:p w14:paraId="29F29EC6">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lang w:val="en-US" w:eastAsia="zh-CN"/>
        </w:rPr>
        <w:t>9</w:t>
      </w:r>
      <w:r>
        <w:rPr>
          <w:rFonts w:ascii="Times New Roman" w:hAnsi="Times New Roman" w:eastAsia="仿宋"/>
          <w:color w:val="auto"/>
          <w:szCs w:val="28"/>
          <w:highlight w:val="none"/>
        </w:rPr>
        <w:t>.2 比选申请人在比选过程中严禁互相串通、结盟，损害比选的公正性和竞争性，或以任何方式影响其他比选申请人参与正当比选。</w:t>
      </w:r>
    </w:p>
    <w:p w14:paraId="3776B7EB">
      <w:pPr>
        <w:pStyle w:val="4"/>
        <w:keepNext w:val="0"/>
        <w:pageBreakBefore/>
        <w:spacing w:before="0" w:after="0" w:line="480" w:lineRule="auto"/>
        <w:jc w:val="center"/>
        <w:rPr>
          <w:rFonts w:ascii="Times New Roman" w:hAnsi="Times New Roman" w:eastAsia="黑体"/>
          <w:color w:val="auto"/>
          <w:sz w:val="36"/>
          <w:szCs w:val="36"/>
          <w:highlight w:val="none"/>
        </w:rPr>
      </w:pPr>
      <w:bookmarkStart w:id="34" w:name="_Toc157235656"/>
      <w:bookmarkStart w:id="35" w:name="_Toc170621363"/>
      <w:bookmarkStart w:id="36" w:name="_Toc157235929"/>
      <w:bookmarkStart w:id="37" w:name="_Toc319145237"/>
      <w:bookmarkStart w:id="38" w:name="_Toc4270"/>
      <w:bookmarkStart w:id="39" w:name="__x000F_第四章  评标方法"/>
      <w:r>
        <w:rPr>
          <w:rFonts w:ascii="Times New Roman" w:hAnsi="Times New Roman" w:eastAsia="黑体"/>
          <w:color w:val="auto"/>
          <w:sz w:val="36"/>
          <w:szCs w:val="36"/>
          <w:highlight w:val="none"/>
        </w:rPr>
        <w:t>第</w:t>
      </w:r>
      <w:r>
        <w:rPr>
          <w:rFonts w:hint="eastAsia" w:ascii="Times New Roman" w:hAnsi="Times New Roman" w:eastAsia="黑体"/>
          <w:color w:val="auto"/>
          <w:sz w:val="36"/>
          <w:szCs w:val="36"/>
          <w:highlight w:val="none"/>
        </w:rPr>
        <w:t>三</w:t>
      </w:r>
      <w:r>
        <w:rPr>
          <w:rFonts w:ascii="Times New Roman" w:hAnsi="Times New Roman" w:eastAsia="黑体"/>
          <w:color w:val="auto"/>
          <w:sz w:val="36"/>
          <w:szCs w:val="36"/>
          <w:highlight w:val="none"/>
        </w:rPr>
        <w:t xml:space="preserve">章 </w:t>
      </w:r>
      <w:bookmarkEnd w:id="34"/>
      <w:bookmarkEnd w:id="35"/>
      <w:bookmarkEnd w:id="36"/>
      <w:bookmarkEnd w:id="37"/>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比选办法</w:t>
      </w:r>
      <w:bookmarkEnd w:id="38"/>
    </w:p>
    <w:bookmarkEnd w:id="39"/>
    <w:p w14:paraId="75007637">
      <w:pPr>
        <w:pStyle w:val="21"/>
        <w:spacing w:line="420" w:lineRule="atLeast"/>
        <w:rPr>
          <w:rFonts w:hint="eastAsia" w:ascii="仿宋" w:hAnsi="仿宋" w:eastAsia="仿宋" w:cs="仿宋"/>
          <w:b/>
          <w:bCs/>
          <w:color w:val="auto"/>
          <w:sz w:val="27"/>
          <w:szCs w:val="27"/>
          <w:highlight w:val="none"/>
        </w:rPr>
      </w:pPr>
      <w:bookmarkStart w:id="40" w:name="_Toc170621364"/>
      <w:bookmarkStart w:id="41" w:name="_Toc182306255"/>
      <w:bookmarkStart w:id="42" w:name="_Toc56590948"/>
      <w:bookmarkStart w:id="43" w:name="_Toc182301988"/>
      <w:bookmarkStart w:id="44" w:name="_Toc170621231"/>
      <w:bookmarkStart w:id="45" w:name="_Toc17197784"/>
      <w:bookmarkStart w:id="46" w:name="_Toc157235930"/>
      <w:r>
        <w:rPr>
          <w:rFonts w:hint="eastAsia" w:ascii="仿宋" w:hAnsi="仿宋" w:eastAsia="仿宋" w:cs="仿宋"/>
          <w:b/>
          <w:bCs/>
          <w:color w:val="auto"/>
          <w:sz w:val="27"/>
          <w:szCs w:val="27"/>
          <w:highlight w:val="none"/>
        </w:rPr>
        <w:t>一、总则</w:t>
      </w:r>
    </w:p>
    <w:p w14:paraId="48A752C7">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（一）评标动遵循公平、公正、科学、择优的原则；</w:t>
      </w:r>
    </w:p>
    <w:p w14:paraId="04709D7D">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（二）评标方法</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综合评分法</w:t>
      </w:r>
      <w:r>
        <w:rPr>
          <w:rFonts w:hint="eastAsia" w:ascii="仿宋" w:hAnsi="仿宋" w:eastAsia="仿宋" w:cs="仿宋"/>
          <w:color w:val="auto"/>
          <w:szCs w:val="28"/>
          <w:highlight w:val="none"/>
        </w:rPr>
        <w:t>；</w:t>
      </w:r>
    </w:p>
    <w:p w14:paraId="3ECC932D">
      <w:pPr>
        <w:pStyle w:val="21"/>
        <w:spacing w:line="420" w:lineRule="atLeast"/>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二、评审小组</w:t>
      </w:r>
    </w:p>
    <w:p w14:paraId="16224F6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（一）本项目的评标委员会由比选人按照相关规定组建；</w:t>
      </w:r>
    </w:p>
    <w:p w14:paraId="50CC21E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（二）评标委员会应当客观、公正地履行职责，遵守职业道德，对所提出的评审意见承担个人责任；</w:t>
      </w:r>
    </w:p>
    <w:p w14:paraId="3B241BD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（三）评标程序：形式评审---资格评审---</w:t>
      </w:r>
      <w:r>
        <w:rPr>
          <w:rFonts w:hint="eastAsia" w:ascii="仿宋" w:hAnsi="仿宋" w:eastAsia="仿宋" w:cs="仿宋"/>
          <w:color w:val="auto"/>
          <w:szCs w:val="28"/>
          <w:highlight w:val="none"/>
          <w:lang w:val="en-US" w:eastAsia="zh-CN"/>
        </w:rPr>
        <w:t>量化评分并</w:t>
      </w:r>
      <w:r>
        <w:rPr>
          <w:rFonts w:hint="eastAsia" w:ascii="仿宋" w:hAnsi="仿宋" w:eastAsia="仿宋" w:cs="仿宋"/>
          <w:color w:val="auto"/>
          <w:szCs w:val="28"/>
          <w:highlight w:val="none"/>
        </w:rPr>
        <w:t>排名---编写评标报告；</w:t>
      </w:r>
    </w:p>
    <w:p w14:paraId="6A092A85">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（四）在评审过程中，凡未通过上一评标程序的比选申请文件，不再进入后续的评审程序；</w:t>
      </w:r>
    </w:p>
    <w:p w14:paraId="0C7B3438">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三、初步评审</w:t>
      </w:r>
    </w:p>
    <w:p w14:paraId="4AD6A7E0">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（一）初步评审主要对各</w:t>
      </w:r>
      <w:r>
        <w:rPr>
          <w:rFonts w:hint="eastAsia" w:ascii="仿宋" w:hAnsi="仿宋" w:eastAsia="仿宋" w:cs="仿宋"/>
          <w:color w:val="auto"/>
          <w:szCs w:val="28"/>
          <w:highlight w:val="none"/>
          <w:lang w:val="en-US" w:eastAsia="zh-CN"/>
        </w:rPr>
        <w:t>比选</w:t>
      </w:r>
      <w:r>
        <w:rPr>
          <w:rFonts w:hint="eastAsia" w:ascii="仿宋" w:hAnsi="仿宋" w:eastAsia="仿宋" w:cs="仿宋"/>
          <w:color w:val="auto"/>
          <w:szCs w:val="28"/>
          <w:highlight w:val="none"/>
        </w:rPr>
        <w:t>申请文件是否在实质上响应了比选文件要求进行评审；</w:t>
      </w:r>
    </w:p>
    <w:p w14:paraId="1CAF05DA">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（二）初步评审标准：</w:t>
      </w:r>
    </w:p>
    <w:tbl>
      <w:tblPr>
        <w:tblStyle w:val="2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4B4A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67" w:type="dxa"/>
            <w:tcBorders>
              <w:top w:val="single" w:color="auto" w:sz="12" w:space="0"/>
              <w:left w:val="single" w:color="auto" w:sz="12" w:space="0"/>
            </w:tcBorders>
            <w:noWrap w:val="0"/>
            <w:vAlign w:val="center"/>
          </w:tcPr>
          <w:p w14:paraId="3DBFFE58">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序号</w:t>
            </w:r>
          </w:p>
        </w:tc>
        <w:tc>
          <w:tcPr>
            <w:tcW w:w="6141" w:type="dxa"/>
            <w:tcBorders>
              <w:top w:val="single" w:color="auto" w:sz="12" w:space="0"/>
            </w:tcBorders>
            <w:noWrap w:val="0"/>
            <w:vAlign w:val="center"/>
          </w:tcPr>
          <w:p w14:paraId="6F9DA363">
            <w:pPr>
              <w:keepNext w:val="0"/>
              <w:keepLines w:val="0"/>
              <w:suppressLineNumbers w:val="0"/>
              <w:spacing w:before="0" w:beforeAutospacing="0" w:after="0" w:afterAutospacing="0" w:line="480" w:lineRule="auto"/>
              <w:ind w:left="538" w:leftChars="192"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评审标准</w:t>
            </w:r>
          </w:p>
        </w:tc>
        <w:tc>
          <w:tcPr>
            <w:tcW w:w="2341" w:type="dxa"/>
            <w:tcBorders>
              <w:top w:val="single" w:color="auto" w:sz="12" w:space="0"/>
              <w:right w:val="single" w:color="auto" w:sz="12" w:space="0"/>
            </w:tcBorders>
            <w:noWrap w:val="0"/>
            <w:vAlign w:val="center"/>
          </w:tcPr>
          <w:p w14:paraId="1D015E51">
            <w:pPr>
              <w:keepNext w:val="0"/>
              <w:keepLines w:val="0"/>
              <w:suppressLineNumbers w:val="0"/>
              <w:spacing w:before="0" w:beforeAutospacing="0" w:after="0" w:afterAutospacing="0" w:line="420" w:lineRule="exact"/>
              <w:ind w:left="0" w:right="0"/>
              <w:rPr>
                <w:rFonts w:hint="eastAsia" w:ascii="仿宋" w:hAnsi="仿宋" w:eastAsia="仿宋" w:cs="仿宋"/>
                <w:color w:val="auto"/>
                <w:szCs w:val="28"/>
                <w:highlight w:val="none"/>
              </w:rPr>
            </w:pPr>
            <w:r>
              <w:rPr>
                <w:rFonts w:hint="eastAsia" w:ascii="仿宋" w:hAnsi="仿宋" w:eastAsia="仿宋" w:cs="仿宋"/>
                <w:color w:val="auto"/>
                <w:sz w:val="24"/>
                <w:highlight w:val="none"/>
              </w:rPr>
              <w:t>是否通过（填写“是”或“否”）</w:t>
            </w:r>
          </w:p>
        </w:tc>
      </w:tr>
      <w:tr w14:paraId="2EEA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067" w:type="dxa"/>
            <w:tcBorders>
              <w:left w:val="single" w:color="auto" w:sz="12" w:space="0"/>
            </w:tcBorders>
            <w:noWrap w:val="0"/>
            <w:vAlign w:val="center"/>
          </w:tcPr>
          <w:p w14:paraId="1DD5448E">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6141" w:type="dxa"/>
            <w:noWrap w:val="0"/>
            <w:vAlign w:val="center"/>
          </w:tcPr>
          <w:p w14:paraId="27D8E1E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比选申请人名称与</w:t>
            </w:r>
            <w:r>
              <w:rPr>
                <w:rFonts w:hint="eastAsia" w:ascii="仿宋" w:hAnsi="仿宋" w:eastAsia="仿宋" w:cs="仿宋"/>
                <w:color w:val="auto"/>
                <w:sz w:val="24"/>
                <w:highlight w:val="none"/>
                <w:lang w:val="en-US" w:eastAsia="zh-CN"/>
              </w:rPr>
              <w:t>其主体资格证明文件名称</w:t>
            </w:r>
            <w:r>
              <w:rPr>
                <w:rFonts w:hint="eastAsia" w:ascii="仿宋" w:hAnsi="仿宋" w:eastAsia="仿宋" w:cs="仿宋"/>
                <w:color w:val="auto"/>
                <w:sz w:val="24"/>
                <w:highlight w:val="none"/>
              </w:rPr>
              <w:t>一致</w:t>
            </w:r>
          </w:p>
        </w:tc>
        <w:tc>
          <w:tcPr>
            <w:tcW w:w="2341" w:type="dxa"/>
            <w:tcBorders>
              <w:right w:val="single" w:color="auto" w:sz="12" w:space="0"/>
            </w:tcBorders>
            <w:noWrap w:val="0"/>
            <w:vAlign w:val="center"/>
          </w:tcPr>
          <w:p w14:paraId="79BA9DC5">
            <w:pPr>
              <w:keepNext w:val="0"/>
              <w:keepLines w:val="0"/>
              <w:suppressLineNumbers w:val="0"/>
              <w:spacing w:before="0" w:beforeAutospacing="0" w:after="0" w:afterAutospacing="0" w:line="480" w:lineRule="auto"/>
              <w:ind w:left="0" w:right="0"/>
              <w:rPr>
                <w:rFonts w:hint="eastAsia" w:ascii="仿宋" w:hAnsi="仿宋" w:eastAsia="仿宋" w:cs="仿宋"/>
                <w:color w:val="auto"/>
                <w:sz w:val="24"/>
                <w:highlight w:val="none"/>
              </w:rPr>
            </w:pPr>
          </w:p>
        </w:tc>
      </w:tr>
      <w:tr w14:paraId="3E19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67" w:type="dxa"/>
            <w:tcBorders>
              <w:left w:val="single" w:color="auto" w:sz="12" w:space="0"/>
            </w:tcBorders>
            <w:noWrap w:val="0"/>
            <w:vAlign w:val="center"/>
          </w:tcPr>
          <w:p w14:paraId="67E7EF7D">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p>
        </w:tc>
        <w:tc>
          <w:tcPr>
            <w:tcW w:w="6141" w:type="dxa"/>
            <w:noWrap w:val="0"/>
            <w:vAlign w:val="center"/>
          </w:tcPr>
          <w:p w14:paraId="71CB1F5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比选申请文件符合比选文件</w:t>
            </w:r>
            <w:r>
              <w:rPr>
                <w:rFonts w:hint="eastAsia" w:ascii="仿宋" w:hAnsi="仿宋" w:eastAsia="仿宋" w:cs="仿宋"/>
                <w:color w:val="auto"/>
                <w:sz w:val="24"/>
                <w:highlight w:val="none"/>
                <w:lang w:val="en-US" w:eastAsia="zh-CN"/>
              </w:rPr>
              <w:t>第二章第十二款</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74557DE0">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77B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67" w:type="dxa"/>
            <w:tcBorders>
              <w:left w:val="single" w:color="auto" w:sz="12" w:space="0"/>
            </w:tcBorders>
            <w:noWrap w:val="0"/>
            <w:vAlign w:val="center"/>
          </w:tcPr>
          <w:p w14:paraId="5969A73F">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3</w:t>
            </w:r>
          </w:p>
        </w:tc>
        <w:tc>
          <w:tcPr>
            <w:tcW w:w="6141" w:type="dxa"/>
            <w:noWrap w:val="0"/>
            <w:vAlign w:val="center"/>
          </w:tcPr>
          <w:p w14:paraId="6CF282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比选申请人的报价符合比选文件规定，未超过最高限价</w:t>
            </w:r>
          </w:p>
        </w:tc>
        <w:tc>
          <w:tcPr>
            <w:tcW w:w="2341" w:type="dxa"/>
            <w:tcBorders>
              <w:right w:val="single" w:color="auto" w:sz="12" w:space="0"/>
            </w:tcBorders>
            <w:noWrap w:val="0"/>
            <w:vAlign w:val="center"/>
          </w:tcPr>
          <w:p w14:paraId="43B7BC1B">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702D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tcBorders>
              <w:left w:val="single" w:color="auto" w:sz="12" w:space="0"/>
            </w:tcBorders>
            <w:noWrap w:val="0"/>
            <w:vAlign w:val="center"/>
          </w:tcPr>
          <w:p w14:paraId="5803C357">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4</w:t>
            </w:r>
          </w:p>
        </w:tc>
        <w:tc>
          <w:tcPr>
            <w:tcW w:w="6141" w:type="dxa"/>
            <w:noWrap w:val="0"/>
            <w:vAlign w:val="center"/>
          </w:tcPr>
          <w:p w14:paraId="1B9EEC2F">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服务期限符合比选文件</w:t>
            </w:r>
            <w:r>
              <w:rPr>
                <w:rFonts w:hint="eastAsia" w:ascii="仿宋" w:hAnsi="仿宋" w:eastAsia="仿宋" w:cs="仿宋"/>
                <w:color w:val="auto"/>
                <w:sz w:val="24"/>
                <w:highlight w:val="none"/>
                <w:lang w:val="en-US" w:eastAsia="zh-CN"/>
              </w:rPr>
              <w:t>第二章第七款</w:t>
            </w:r>
            <w:r>
              <w:rPr>
                <w:rFonts w:hint="eastAsia" w:ascii="仿宋" w:hAnsi="仿宋" w:eastAsia="仿宋" w:cs="仿宋"/>
                <w:color w:val="auto"/>
                <w:sz w:val="24"/>
                <w:highlight w:val="none"/>
              </w:rPr>
              <w:t>要求</w:t>
            </w:r>
          </w:p>
        </w:tc>
        <w:tc>
          <w:tcPr>
            <w:tcW w:w="2341" w:type="dxa"/>
            <w:tcBorders>
              <w:right w:val="single" w:color="auto" w:sz="12" w:space="0"/>
            </w:tcBorders>
            <w:noWrap w:val="0"/>
            <w:vAlign w:val="center"/>
          </w:tcPr>
          <w:p w14:paraId="6B2E9442">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E8E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7DE62431">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5</w:t>
            </w:r>
          </w:p>
        </w:tc>
        <w:tc>
          <w:tcPr>
            <w:tcW w:w="6141" w:type="dxa"/>
            <w:noWrap w:val="0"/>
            <w:vAlign w:val="center"/>
          </w:tcPr>
          <w:p w14:paraId="1A23C61A">
            <w:pPr>
              <w:keepNext w:val="0"/>
              <w:keepLines w:val="0"/>
              <w:suppressLineNumbers w:val="0"/>
              <w:spacing w:before="0" w:beforeAutospacing="0" w:after="0" w:afterAutospacing="0" w:line="48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服务要求符合比选文件要求</w:t>
            </w:r>
          </w:p>
        </w:tc>
        <w:tc>
          <w:tcPr>
            <w:tcW w:w="2341" w:type="dxa"/>
            <w:tcBorders>
              <w:right w:val="single" w:color="auto" w:sz="12" w:space="0"/>
            </w:tcBorders>
            <w:noWrap w:val="0"/>
            <w:vAlign w:val="center"/>
          </w:tcPr>
          <w:p w14:paraId="7D09A0DC">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5B0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2BAC071B">
            <w:pPr>
              <w:keepNext w:val="0"/>
              <w:keepLines w:val="0"/>
              <w:suppressLineNumbers w:val="0"/>
              <w:spacing w:before="0" w:beforeAutospacing="0" w:after="0" w:afterAutospacing="0" w:line="480" w:lineRule="auto"/>
              <w:ind w:left="0" w:right="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6</w:t>
            </w:r>
          </w:p>
        </w:tc>
        <w:tc>
          <w:tcPr>
            <w:tcW w:w="6141" w:type="dxa"/>
            <w:noWrap w:val="0"/>
            <w:vAlign w:val="center"/>
          </w:tcPr>
          <w:p w14:paraId="6AD0452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比选申请文件未附有比选人不能接受的条件</w:t>
            </w:r>
          </w:p>
        </w:tc>
        <w:tc>
          <w:tcPr>
            <w:tcW w:w="2341" w:type="dxa"/>
            <w:tcBorders>
              <w:right w:val="single" w:color="auto" w:sz="12" w:space="0"/>
            </w:tcBorders>
            <w:noWrap w:val="0"/>
            <w:vAlign w:val="center"/>
          </w:tcPr>
          <w:p w14:paraId="2444274A">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r w14:paraId="31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4C7E4047">
            <w:pPr>
              <w:keepNext w:val="0"/>
              <w:keepLines w:val="0"/>
              <w:suppressLineNumbers w:val="0"/>
              <w:spacing w:before="0" w:beforeAutospacing="0" w:after="0" w:afterAutospacing="0" w:line="480" w:lineRule="auto"/>
              <w:ind w:left="538" w:leftChars="192" w:right="0" w:firstLine="1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结论（应填写“通过”或“不通过”）</w:t>
            </w:r>
          </w:p>
        </w:tc>
        <w:tc>
          <w:tcPr>
            <w:tcW w:w="2341" w:type="dxa"/>
            <w:tcBorders>
              <w:right w:val="single" w:color="auto" w:sz="12" w:space="0"/>
            </w:tcBorders>
            <w:noWrap w:val="0"/>
            <w:vAlign w:val="center"/>
          </w:tcPr>
          <w:p w14:paraId="59F6D6F5">
            <w:pPr>
              <w:keepNext w:val="0"/>
              <w:keepLines w:val="0"/>
              <w:suppressLineNumbers w:val="0"/>
              <w:spacing w:before="0" w:beforeAutospacing="0" w:after="0" w:afterAutospacing="0" w:line="480" w:lineRule="auto"/>
              <w:ind w:left="538" w:leftChars="192" w:right="0"/>
              <w:rPr>
                <w:rFonts w:hint="eastAsia" w:ascii="仿宋" w:hAnsi="仿宋" w:eastAsia="仿宋" w:cs="仿宋"/>
                <w:color w:val="auto"/>
                <w:szCs w:val="28"/>
                <w:highlight w:val="none"/>
              </w:rPr>
            </w:pPr>
          </w:p>
        </w:tc>
      </w:tr>
    </w:tbl>
    <w:p w14:paraId="20386165">
      <w:pPr>
        <w:pStyle w:val="25"/>
        <w:ind w:firstLine="482"/>
        <w:rPr>
          <w:rFonts w:hint="eastAsia" w:ascii="仿宋" w:hAnsi="仿宋" w:eastAsia="仿宋" w:cs="仿宋"/>
          <w:b/>
          <w:bCs/>
          <w:color w:val="auto"/>
          <w:highlight w:val="none"/>
        </w:rPr>
      </w:pPr>
    </w:p>
    <w:p w14:paraId="36855BFD">
      <w:pPr>
        <w:spacing w:line="420" w:lineRule="atLeast"/>
        <w:outlineLvl w:val="1"/>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四、资格评审</w:t>
      </w:r>
    </w:p>
    <w:p w14:paraId="535DA0EC">
      <w:pPr>
        <w:spacing w:line="48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评标委员会对通过初步评审的比选申请文件进行资格评审，资格评审实行强制性合格条件标准（见下表），凡有一项不合格则不能通过，资格审查未通过的不再进入下一步评审。</w:t>
      </w:r>
    </w:p>
    <w:tbl>
      <w:tblPr>
        <w:tblStyle w:val="26"/>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09D5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53C71B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5808" w:type="dxa"/>
            <w:noWrap w:val="0"/>
            <w:tcMar>
              <w:top w:w="15" w:type="dxa"/>
              <w:left w:w="15" w:type="dxa"/>
              <w:bottom w:w="0" w:type="dxa"/>
              <w:right w:w="15" w:type="dxa"/>
            </w:tcMar>
            <w:vAlign w:val="center"/>
          </w:tcPr>
          <w:p w14:paraId="7ECEF829">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评审因素与评审标准</w:t>
            </w:r>
          </w:p>
        </w:tc>
        <w:tc>
          <w:tcPr>
            <w:tcW w:w="1841" w:type="dxa"/>
            <w:noWrap w:val="0"/>
            <w:tcMar>
              <w:top w:w="15" w:type="dxa"/>
              <w:left w:w="15" w:type="dxa"/>
              <w:bottom w:w="0" w:type="dxa"/>
              <w:right w:w="15" w:type="dxa"/>
            </w:tcMar>
            <w:vAlign w:val="center"/>
          </w:tcPr>
          <w:p w14:paraId="51D2188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color w:val="auto"/>
                <w:sz w:val="24"/>
                <w:highlight w:val="none"/>
              </w:rPr>
              <w:t>是否通过（填写“是”或“否”）</w:t>
            </w:r>
          </w:p>
        </w:tc>
      </w:tr>
      <w:tr w14:paraId="1E1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7842AD0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5808" w:type="dxa"/>
            <w:noWrap w:val="0"/>
            <w:tcMar>
              <w:top w:w="15" w:type="dxa"/>
              <w:left w:w="15" w:type="dxa"/>
              <w:bottom w:w="0" w:type="dxa"/>
              <w:right w:w="15" w:type="dxa"/>
            </w:tcMar>
            <w:vAlign w:val="center"/>
          </w:tcPr>
          <w:p w14:paraId="3885BF67">
            <w:pPr>
              <w:keepNext w:val="0"/>
              <w:keepLines w:val="0"/>
              <w:suppressLineNumbers w:val="0"/>
              <w:spacing w:before="0" w:beforeAutospacing="0" w:after="0" w:afterAutospacing="0" w:line="400" w:lineRule="exact"/>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比选申请人的资格符合比选文件</w:t>
            </w:r>
            <w:r>
              <w:rPr>
                <w:rFonts w:hint="eastAsia" w:ascii="仿宋" w:hAnsi="仿宋" w:eastAsia="仿宋" w:cs="仿宋"/>
                <w:color w:val="auto"/>
                <w:sz w:val="24"/>
                <w:highlight w:val="none"/>
                <w:lang w:val="en-US" w:eastAsia="zh-CN"/>
              </w:rPr>
              <w:t>第一章第4.1条</w:t>
            </w:r>
            <w:r>
              <w:rPr>
                <w:rFonts w:hint="eastAsia" w:ascii="仿宋" w:hAnsi="仿宋" w:eastAsia="仿宋" w:cs="仿宋"/>
                <w:color w:val="auto"/>
                <w:sz w:val="24"/>
                <w:highlight w:val="none"/>
              </w:rPr>
              <w:t>要求</w:t>
            </w:r>
          </w:p>
        </w:tc>
        <w:tc>
          <w:tcPr>
            <w:tcW w:w="1841" w:type="dxa"/>
            <w:noWrap w:val="0"/>
            <w:tcMar>
              <w:top w:w="15" w:type="dxa"/>
              <w:left w:w="15" w:type="dxa"/>
              <w:bottom w:w="0" w:type="dxa"/>
              <w:right w:w="15" w:type="dxa"/>
            </w:tcMar>
            <w:vAlign w:val="center"/>
          </w:tcPr>
          <w:p w14:paraId="6064E1E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42A5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0BB6F9B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5808" w:type="dxa"/>
            <w:noWrap w:val="0"/>
            <w:tcMar>
              <w:top w:w="15" w:type="dxa"/>
              <w:left w:w="15" w:type="dxa"/>
              <w:bottom w:w="0" w:type="dxa"/>
              <w:right w:w="15" w:type="dxa"/>
            </w:tcMar>
            <w:vAlign w:val="center"/>
          </w:tcPr>
          <w:p w14:paraId="3FD4531F">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比选申请人履约能力符合比选文件</w:t>
            </w:r>
            <w:r>
              <w:rPr>
                <w:rFonts w:hint="eastAsia" w:ascii="仿宋" w:hAnsi="仿宋" w:eastAsia="仿宋" w:cs="仿宋"/>
                <w:color w:val="auto"/>
                <w:sz w:val="24"/>
                <w:highlight w:val="none"/>
                <w:lang w:val="en-US" w:eastAsia="zh-CN"/>
              </w:rPr>
              <w:t>第一章第4.2条</w:t>
            </w:r>
            <w:r>
              <w:rPr>
                <w:rFonts w:hint="eastAsia" w:ascii="仿宋" w:hAnsi="仿宋" w:eastAsia="仿宋" w:cs="仿宋"/>
                <w:color w:val="auto"/>
                <w:sz w:val="24"/>
                <w:highlight w:val="none"/>
              </w:rPr>
              <w:t>要求</w:t>
            </w:r>
          </w:p>
        </w:tc>
        <w:tc>
          <w:tcPr>
            <w:tcW w:w="1841" w:type="dxa"/>
            <w:noWrap w:val="0"/>
            <w:tcMar>
              <w:top w:w="15" w:type="dxa"/>
              <w:left w:w="15" w:type="dxa"/>
              <w:bottom w:w="0" w:type="dxa"/>
              <w:right w:w="15" w:type="dxa"/>
            </w:tcMar>
            <w:vAlign w:val="center"/>
          </w:tcPr>
          <w:p w14:paraId="7B6A4E8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66F3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731BF9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5808" w:type="dxa"/>
            <w:noWrap w:val="0"/>
            <w:tcMar>
              <w:top w:w="15" w:type="dxa"/>
              <w:left w:w="15" w:type="dxa"/>
              <w:bottom w:w="0" w:type="dxa"/>
              <w:right w:w="15" w:type="dxa"/>
            </w:tcMar>
            <w:vAlign w:val="center"/>
          </w:tcPr>
          <w:p w14:paraId="10AD59DA">
            <w:pPr>
              <w:pStyle w:val="21"/>
              <w:keepNext w:val="0"/>
              <w:keepLines w:val="0"/>
              <w:suppressLineNumbers w:val="0"/>
              <w:spacing w:before="0" w:beforeAutospacing="0" w:after="0" w:afterAutospacing="0" w:line="400" w:lineRule="exact"/>
              <w:ind w:left="0" w:right="0"/>
              <w:rPr>
                <w:rFonts w:hint="eastAsia" w:ascii="仿宋" w:hAnsi="仿宋" w:eastAsia="仿宋" w:cs="仿宋"/>
                <w:color w:val="auto"/>
                <w:kern w:val="2"/>
                <w:highlight w:val="none"/>
              </w:rPr>
            </w:pPr>
            <w:r>
              <w:rPr>
                <w:rFonts w:hint="eastAsia" w:ascii="仿宋" w:hAnsi="仿宋" w:eastAsia="仿宋" w:cs="仿宋"/>
                <w:color w:val="auto"/>
                <w:highlight w:val="none"/>
              </w:rPr>
              <w:t>比选申请人信誉要求符合比选文件</w:t>
            </w:r>
            <w:r>
              <w:rPr>
                <w:rFonts w:hint="eastAsia" w:ascii="仿宋" w:hAnsi="仿宋" w:eastAsia="仿宋" w:cs="仿宋"/>
                <w:color w:val="auto"/>
                <w:sz w:val="24"/>
                <w:highlight w:val="none"/>
                <w:lang w:val="en-US" w:eastAsia="zh-CN"/>
              </w:rPr>
              <w:t>第一章第4.3条</w:t>
            </w:r>
            <w:r>
              <w:rPr>
                <w:rFonts w:hint="eastAsia" w:ascii="仿宋" w:hAnsi="仿宋" w:eastAsia="仿宋" w:cs="仿宋"/>
                <w:color w:val="auto"/>
                <w:highlight w:val="none"/>
              </w:rPr>
              <w:t>要求</w:t>
            </w:r>
          </w:p>
        </w:tc>
        <w:tc>
          <w:tcPr>
            <w:tcW w:w="1841" w:type="dxa"/>
            <w:noWrap w:val="0"/>
            <w:tcMar>
              <w:top w:w="15" w:type="dxa"/>
              <w:left w:w="15" w:type="dxa"/>
              <w:bottom w:w="0" w:type="dxa"/>
              <w:right w:w="15" w:type="dxa"/>
            </w:tcMar>
            <w:vAlign w:val="center"/>
          </w:tcPr>
          <w:p w14:paraId="015DD9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2A83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1719E690">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5808" w:type="dxa"/>
            <w:noWrap w:val="0"/>
            <w:tcMar>
              <w:top w:w="15" w:type="dxa"/>
              <w:left w:w="15" w:type="dxa"/>
              <w:bottom w:w="0" w:type="dxa"/>
              <w:right w:w="15" w:type="dxa"/>
            </w:tcMar>
            <w:vAlign w:val="center"/>
          </w:tcPr>
          <w:p w14:paraId="3A515D4D">
            <w:pPr>
              <w:keepNext w:val="0"/>
              <w:keepLines w:val="0"/>
              <w:suppressLineNumbers w:val="0"/>
              <w:spacing w:before="0" w:beforeAutospacing="0" w:after="0" w:afterAutospacing="0" w:line="400" w:lineRule="exact"/>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比选申请人其他要求符合比选文件规定</w:t>
            </w:r>
          </w:p>
        </w:tc>
        <w:tc>
          <w:tcPr>
            <w:tcW w:w="1841" w:type="dxa"/>
            <w:noWrap w:val="0"/>
            <w:tcMar>
              <w:top w:w="15" w:type="dxa"/>
              <w:left w:w="15" w:type="dxa"/>
              <w:bottom w:w="0" w:type="dxa"/>
              <w:right w:w="15" w:type="dxa"/>
            </w:tcMar>
            <w:vAlign w:val="center"/>
          </w:tcPr>
          <w:p w14:paraId="4474A2EB">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r w14:paraId="7F52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7D8E0E4D">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c>
          <w:tcPr>
            <w:tcW w:w="5808" w:type="dxa"/>
            <w:noWrap w:val="0"/>
            <w:tcMar>
              <w:top w:w="15" w:type="dxa"/>
              <w:left w:w="15" w:type="dxa"/>
              <w:bottom w:w="0" w:type="dxa"/>
              <w:right w:w="15" w:type="dxa"/>
            </w:tcMar>
            <w:vAlign w:val="center"/>
          </w:tcPr>
          <w:p w14:paraId="1A262F27">
            <w:pPr>
              <w:pStyle w:val="21"/>
              <w:keepNext w:val="0"/>
              <w:keepLines w:val="0"/>
              <w:suppressLineNumbers w:val="0"/>
              <w:spacing w:before="0" w:beforeAutospacing="0" w:after="0" w:afterAutospacing="0" w:line="440" w:lineRule="exact"/>
              <w:ind w:left="0" w:right="0"/>
              <w:rPr>
                <w:rFonts w:hint="eastAsia" w:ascii="仿宋" w:hAnsi="仿宋" w:eastAsia="仿宋" w:cs="仿宋"/>
                <w:color w:val="auto"/>
                <w:highlight w:val="none"/>
              </w:rPr>
            </w:pPr>
            <w:r>
              <w:rPr>
                <w:rFonts w:hint="eastAsia" w:ascii="仿宋" w:hAnsi="仿宋" w:eastAsia="仿宋" w:cs="仿宋"/>
                <w:color w:val="auto"/>
                <w:highlight w:val="none"/>
              </w:rPr>
              <w:t>结论（应填写“通过”或“不通过”）</w:t>
            </w:r>
          </w:p>
        </w:tc>
        <w:tc>
          <w:tcPr>
            <w:tcW w:w="1841" w:type="dxa"/>
            <w:noWrap w:val="0"/>
            <w:tcMar>
              <w:top w:w="15" w:type="dxa"/>
              <w:left w:w="15" w:type="dxa"/>
              <w:bottom w:w="0" w:type="dxa"/>
              <w:right w:w="15" w:type="dxa"/>
            </w:tcMar>
            <w:vAlign w:val="center"/>
          </w:tcPr>
          <w:p w14:paraId="4543E9A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p>
        </w:tc>
      </w:tr>
    </w:tbl>
    <w:p w14:paraId="757211D2">
      <w:pPr>
        <w:pStyle w:val="25"/>
        <w:ind w:firstLine="482"/>
        <w:rPr>
          <w:rFonts w:hint="eastAsia" w:ascii="仿宋" w:hAnsi="仿宋" w:eastAsia="仿宋" w:cs="仿宋"/>
          <w:b/>
          <w:bCs/>
          <w:color w:val="auto"/>
          <w:highlight w:val="none"/>
        </w:rPr>
      </w:pPr>
    </w:p>
    <w:p w14:paraId="3262B5BF">
      <w:pPr>
        <w:pStyle w:val="21"/>
        <w:spacing w:line="420" w:lineRule="atLeast"/>
        <w:jc w:val="both"/>
        <w:rPr>
          <w:rFonts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五</w:t>
      </w:r>
      <w:r>
        <w:rPr>
          <w:rFonts w:ascii="仿宋" w:hAnsi="仿宋" w:eastAsia="仿宋" w:cs="仿宋"/>
          <w:b/>
          <w:bCs/>
          <w:color w:val="auto"/>
          <w:sz w:val="27"/>
          <w:szCs w:val="27"/>
          <w:highlight w:val="none"/>
        </w:rPr>
        <w:t>、量化评分</w:t>
      </w:r>
    </w:p>
    <w:p w14:paraId="49910ADD">
      <w:pPr>
        <w:spacing w:line="480" w:lineRule="exact"/>
        <w:ind w:firstLine="560" w:firstLineChars="200"/>
        <w:rPr>
          <w:rFonts w:ascii="Times New Roman" w:hAnsi="Times New Roman" w:eastAsia="仿宋"/>
          <w:color w:val="auto"/>
          <w:szCs w:val="28"/>
          <w:highlight w:val="none"/>
          <w:lang w:bidi="ar"/>
        </w:rPr>
      </w:pPr>
      <w:r>
        <w:rPr>
          <w:rFonts w:ascii="Times New Roman" w:hAnsi="Times New Roman" w:eastAsia="仿宋"/>
          <w:color w:val="auto"/>
          <w:szCs w:val="28"/>
          <w:highlight w:val="none"/>
          <w:lang w:bidi="ar"/>
        </w:rPr>
        <w:t>评标委员会对合格的比选申请人</w:t>
      </w:r>
      <w:r>
        <w:rPr>
          <w:rFonts w:hint="eastAsia" w:ascii="仿宋" w:hAnsi="仿宋" w:eastAsia="仿宋" w:cs="仿宋"/>
          <w:color w:val="auto"/>
          <w:szCs w:val="28"/>
          <w:highlight w:val="none"/>
        </w:rPr>
        <w:t>按以下评分标准进行量化评分，按综合得分由高到低进行排序</w:t>
      </w:r>
      <w:r>
        <w:rPr>
          <w:rFonts w:ascii="Times New Roman" w:hAnsi="Times New Roman" w:eastAsia="仿宋"/>
          <w:color w:val="auto"/>
          <w:szCs w:val="28"/>
          <w:highlight w:val="none"/>
          <w:lang w:bidi="ar"/>
        </w:rPr>
        <w:t>。</w:t>
      </w:r>
    </w:p>
    <w:tbl>
      <w:tblPr>
        <w:tblStyle w:val="26"/>
        <w:tblW w:w="9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413"/>
        <w:gridCol w:w="1108"/>
        <w:gridCol w:w="5448"/>
        <w:gridCol w:w="539"/>
      </w:tblGrid>
      <w:tr w14:paraId="1423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3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41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评分因素及权重</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48B8054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0730E">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3FE8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1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2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报价部分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D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B57008">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满足比选文件要求且最后有效报价最低的比选申请人的价格为基准价，其价格分为满分。其他比选申请人的价格分统一按照下列公式计算：报价得分=（基准价/报价）×10%×100。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注：1、评分的取值按四舍五入法，保留小数点后两位。</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4C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0F74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D8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9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履约能力</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C7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11B43B3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1、业绩：自2023年1月1日以来（以合同签订时间为准），每具有1个已完成或正在实施或新承接的类似业绩加2分，本项最多得6分。</w:t>
            </w:r>
          </w:p>
          <w:p w14:paraId="63C44B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类似业绩：移动办公平台技术服务业绩</w:t>
            </w:r>
          </w:p>
          <w:p w14:paraId="1BA46C2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注：证明材料需提供合同协议书复印件。</w:t>
            </w:r>
          </w:p>
          <w:p w14:paraId="01C21B1A">
            <w:pPr>
              <w:pStyle w:val="2"/>
              <w:keepNext w:val="0"/>
              <w:keepLines w:val="0"/>
              <w:suppressLineNumbers w:val="0"/>
              <w:spacing w:before="0" w:beforeAutospacing="0" w:afterAutospacing="0"/>
              <w:ind w:left="0" w:right="0"/>
              <w:rPr>
                <w:rFonts w:hint="eastAsia" w:ascii="仿宋" w:hAnsi="仿宋" w:eastAsia="仿宋" w:cs="仿宋"/>
                <w:color w:val="auto"/>
                <w:sz w:val="24"/>
                <w:szCs w:val="24"/>
                <w:highlight w:val="none"/>
                <w:lang w:val="en-US"/>
              </w:rPr>
            </w:pPr>
            <w:r>
              <w:rPr>
                <w:rFonts w:hint="eastAsia" w:ascii="仿宋" w:hAnsi="仿宋" w:eastAsia="仿宋" w:cs="仿宋"/>
                <w:i w:val="0"/>
                <w:iCs w:val="0"/>
                <w:color w:val="auto"/>
                <w:kern w:val="0"/>
                <w:sz w:val="24"/>
                <w:szCs w:val="24"/>
                <w:highlight w:val="none"/>
                <w:u w:val="none"/>
                <w:lang w:val="en-US" w:eastAsia="zh-CN" w:bidi="ar"/>
              </w:rPr>
              <w:t>2、比选申请人或比选申请人所投产品平台拥有软件著作证书得4分（提供计算机软件著作权登记证书复印件），不提供不得分。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E3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666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5C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BA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技术要求</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32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21</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C7C49E">
            <w:pPr>
              <w:keepNext w:val="0"/>
              <w:keepLines w:val="0"/>
              <w:widowControl/>
              <w:suppressLineNumbers w:val="0"/>
              <w:spacing w:before="0" w:beforeAutospacing="0" w:after="0" w:afterAutospacing="0"/>
              <w:ind w:left="0" w:right="0"/>
              <w:jc w:val="left"/>
              <w:textAlignment w:val="top"/>
              <w:rPr>
                <w:rStyle w:val="55"/>
                <w:rFonts w:hint="eastAsia" w:ascii="仿宋" w:hAnsi="仿宋" w:eastAsia="仿宋" w:cs="仿宋"/>
                <w:color w:val="auto"/>
                <w:sz w:val="24"/>
                <w:szCs w:val="24"/>
                <w:highlight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针对“比选项目要求”中带▲的项（共14项），每有一项满足得1分，最多得14分。未带“</w:t>
            </w:r>
            <w:r>
              <w:rPr>
                <w:rStyle w:val="54"/>
                <w:rFonts w:hint="eastAsia" w:ascii="仿宋" w:hAnsi="仿宋" w:eastAsia="仿宋" w:cs="仿宋"/>
                <w:color w:val="auto"/>
                <w:sz w:val="24"/>
                <w:szCs w:val="24"/>
                <w:highlight w:val="none"/>
                <w:lang w:val="en-US" w:eastAsia="zh-CN" w:bidi="ar"/>
              </w:rPr>
              <w:t>▲</w:t>
            </w:r>
            <w:r>
              <w:rPr>
                <w:rStyle w:val="55"/>
                <w:rFonts w:hint="eastAsia" w:ascii="仿宋" w:hAnsi="仿宋" w:eastAsia="仿宋" w:cs="仿宋"/>
                <w:color w:val="auto"/>
                <w:sz w:val="24"/>
                <w:szCs w:val="24"/>
                <w:highlight w:val="none"/>
                <w:lang w:val="en-US" w:eastAsia="zh-CN" w:bidi="ar"/>
              </w:rPr>
              <w:t>”的项（共70项），每有一项满足得0.1分，最多得7分。</w:t>
            </w:r>
          </w:p>
          <w:p w14:paraId="1E373EC9">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i w:val="0"/>
                <w:iCs w:val="0"/>
                <w:color w:val="auto"/>
                <w:kern w:val="2"/>
                <w:sz w:val="24"/>
                <w:szCs w:val="24"/>
                <w:highlight w:val="none"/>
                <w:u w:val="none"/>
                <w:lang w:val="en-US" w:eastAsia="zh-CN" w:bidi="ar-SA"/>
              </w:rPr>
            </w:pPr>
            <w:r>
              <w:rPr>
                <w:rStyle w:val="55"/>
                <w:rFonts w:hint="eastAsia" w:ascii="仿宋" w:hAnsi="仿宋" w:eastAsia="仿宋" w:cs="仿宋"/>
                <w:color w:val="auto"/>
                <w:sz w:val="24"/>
                <w:szCs w:val="24"/>
                <w:highlight w:val="none"/>
                <w:lang w:val="en-US" w:eastAsia="zh-CN" w:bidi="ar"/>
              </w:rPr>
              <w:t>注：(1)针对采购文件中的技术参数，比选申请人应按服务要求中载明的要求，提供证明材料</w:t>
            </w:r>
            <w:r>
              <w:rPr>
                <w:rStyle w:val="55"/>
                <w:rFonts w:hint="eastAsia" w:ascii="仿宋" w:hAnsi="仿宋" w:eastAsia="仿宋" w:cs="仿宋"/>
                <w:b/>
                <w:bCs/>
                <w:color w:val="auto"/>
                <w:sz w:val="24"/>
                <w:szCs w:val="24"/>
                <w:highlight w:val="yellow"/>
                <w:lang w:val="en-US" w:eastAsia="zh-CN" w:bidi="ar"/>
              </w:rPr>
              <w:t>（除第二章比选申请人须知“四、比选项目要求”中要求提供截图的项外，其余项提供文字说明即可）</w:t>
            </w:r>
            <w:r>
              <w:rPr>
                <w:rStyle w:val="55"/>
                <w:rFonts w:hint="eastAsia" w:ascii="仿宋" w:hAnsi="仿宋" w:eastAsia="仿宋" w:cs="仿宋"/>
                <w:color w:val="auto"/>
                <w:sz w:val="24"/>
                <w:szCs w:val="24"/>
                <w:highlight w:val="none"/>
                <w:lang w:val="en-US" w:eastAsia="zh-CN" w:bidi="ar"/>
              </w:rPr>
              <w:t>，针对以上所有资料加盖比选申请人印章；如果某条项目要求没有按照以上要求提供证明材料的，该条项目要求在评审中将不予加分。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36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205A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5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83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视频演示</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34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3CE49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针对本项目系统视频演示：</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比选申请人提供视频演示（提供U盘）供评审，演示时长不超过15分钟，时间超出部分不予计取。演示要求包含如下内容：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 提供收文/发文管理、总经理签发公文、流程管理、会议管理、出差审批、用车审批六大功能，满分9分，每缺1项扣1.5分；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 支持集团总部+分子公司多层级组织架构及权限隔离，满足得4分；</w:t>
            </w:r>
          </w:p>
          <w:p w14:paraId="51A741D1">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 支持企业网盘功能，具备个人点对点文件分享功能，具备企业文件共享区功能，满足得4分。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  流程引擎支持可视化配置、单人处理，多人并行处理，抢办，条件路由，退回配置等复杂逻辑，满分6分，每缺1项扣1分；</w:t>
            </w:r>
          </w:p>
          <w:p w14:paraId="3A152BD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 公文格式严格符合GB/T 9704-2012，公文编辑器无需安装任何插件或额外付费的Office中台软件支持，满足得3分；</w:t>
            </w:r>
          </w:p>
          <w:p w14:paraId="715C7BB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6、具备三员管理开关、密码过期密码复杂度设置、具备工作时间配置功能、具备数据加密等安全措施，满分4分，每缺1项扣1分。</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A6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主观分</w:t>
            </w:r>
          </w:p>
        </w:tc>
      </w:tr>
      <w:tr w14:paraId="497C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35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C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人员配置</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4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31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比选申请人针对本项目的人员：</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（1）项目负责人（1 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具有信息系统项目管理师证书的得1分，本项最多得1分。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（2）技术负责人（1 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具有具有系统架构设计师的得1分，本项最多得1分。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（3）安全负责人（1名）：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具有信息安全工程师证书的得2分，本项最多得2分。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注:1.比选申请人提供对应人员证书复印件、身份证复印件及在职证明并加盖印章。2.以上人员不重复计分。</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4F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客观分</w:t>
            </w:r>
          </w:p>
        </w:tc>
      </w:tr>
      <w:tr w14:paraId="4EBA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1"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1C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254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项目实施方案</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2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25</w:t>
            </w:r>
          </w:p>
        </w:tc>
        <w:tc>
          <w:tcPr>
            <w:tcW w:w="5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96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根据比选申请人针对本项目提供的的项目实施方案进行评审，内容包括但不限于：①项目背景及重难点分析；②售后服务方案；③安装及系统调试方案；④项目质量保障体系及措施；⑤工期倒排计划与进度保障措施。包含以上内容且满足采购需求的得25分，每缺一项扣5分，每有一项存在内容缺陷扣2分，扣完为止，未提供不得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注：内容存在缺陷是指以下情形中任意一项：项目名称、实施地点、涉及的规范、标准与本项目要求不一致；方案内容交叉混乱；方案内容与项目内在需求有漏项；具体措施与项目实际情况不匹配。</w:t>
            </w:r>
          </w:p>
        </w:tc>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C8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主观分</w:t>
            </w:r>
          </w:p>
        </w:tc>
      </w:tr>
    </w:tbl>
    <w:p w14:paraId="4837F5C3">
      <w:pPr>
        <w:pStyle w:val="21"/>
        <w:spacing w:line="420" w:lineRule="atLeast"/>
        <w:jc w:val="both"/>
        <w:rPr>
          <w:rFonts w:hint="eastAsia" w:ascii="仿宋" w:hAnsi="仿宋" w:eastAsia="仿宋" w:cs="仿宋"/>
          <w:b/>
          <w:bCs/>
          <w:color w:val="auto"/>
          <w:sz w:val="27"/>
          <w:szCs w:val="27"/>
          <w:highlight w:val="none"/>
        </w:rPr>
      </w:pPr>
      <w:r>
        <w:rPr>
          <w:rFonts w:hint="eastAsia" w:ascii="仿宋" w:hAnsi="仿宋" w:eastAsia="仿宋" w:cs="仿宋"/>
          <w:b/>
          <w:bCs/>
          <w:color w:val="auto"/>
          <w:sz w:val="27"/>
          <w:szCs w:val="27"/>
          <w:highlight w:val="none"/>
        </w:rPr>
        <w:t>六、推荐中标候选人</w:t>
      </w:r>
    </w:p>
    <w:p w14:paraId="58CA6A47">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（一）评审委员会对合格的比选申请人按综合得分由高到低进行排序，并推荐1-3名中选候选人。</w:t>
      </w:r>
    </w:p>
    <w:p w14:paraId="21ED768F">
      <w:pPr>
        <w:spacing w:line="520" w:lineRule="atLeast"/>
        <w:ind w:firstLine="560" w:firstLineChars="200"/>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（二）编制评审报告，评审报告由评审委员会全体成员</w:t>
      </w:r>
      <w:bookmarkStart w:id="75" w:name="_GoBack"/>
      <w:bookmarkEnd w:id="75"/>
      <w:r>
        <w:rPr>
          <w:rFonts w:hint="eastAsia" w:ascii="仿宋" w:hAnsi="仿宋" w:eastAsia="仿宋" w:cs="仿宋"/>
          <w:color w:val="auto"/>
          <w:szCs w:val="28"/>
          <w:highlight w:val="none"/>
        </w:rPr>
        <w:t>签字。</w:t>
      </w:r>
    </w:p>
    <w:bookmarkEnd w:id="40"/>
    <w:bookmarkEnd w:id="41"/>
    <w:bookmarkEnd w:id="42"/>
    <w:bookmarkEnd w:id="43"/>
    <w:bookmarkEnd w:id="44"/>
    <w:bookmarkEnd w:id="45"/>
    <w:bookmarkEnd w:id="46"/>
    <w:p w14:paraId="3A4BFBFF">
      <w:pPr>
        <w:pStyle w:val="4"/>
        <w:keepNext w:val="0"/>
        <w:pageBreakBefore/>
        <w:spacing w:before="0" w:after="0" w:line="480" w:lineRule="auto"/>
        <w:jc w:val="center"/>
        <w:rPr>
          <w:rFonts w:ascii="Times New Roman" w:hAnsi="Times New Roman" w:eastAsia="黑体"/>
          <w:color w:val="auto"/>
          <w:sz w:val="36"/>
          <w:szCs w:val="36"/>
          <w:highlight w:val="none"/>
        </w:rPr>
      </w:pPr>
      <w:bookmarkStart w:id="47" w:name="_Toc10626"/>
      <w:bookmarkStart w:id="48" w:name="_Toc170621344"/>
      <w:bookmarkStart w:id="49" w:name="_Toc157235910"/>
      <w:bookmarkStart w:id="50" w:name="_Toc170621212"/>
      <w:bookmarkStart w:id="51" w:name="_Toc319145209"/>
      <w:bookmarkStart w:id="52" w:name="_第五章 合同条款"/>
      <w:r>
        <w:rPr>
          <w:rFonts w:ascii="Times New Roman" w:hAnsi="Times New Roman" w:eastAsia="黑体"/>
          <w:color w:val="auto"/>
          <w:sz w:val="36"/>
          <w:szCs w:val="36"/>
          <w:highlight w:val="none"/>
        </w:rPr>
        <w:t xml:space="preserve">第四章 </w:t>
      </w:r>
      <w:r>
        <w:rPr>
          <w:rFonts w:hint="eastAsia" w:ascii="Times New Roman" w:hAnsi="Times New Roman" w:eastAsia="黑体"/>
          <w:color w:val="auto"/>
          <w:sz w:val="36"/>
          <w:szCs w:val="36"/>
          <w:highlight w:val="none"/>
        </w:rPr>
        <w:t xml:space="preserve"> </w:t>
      </w:r>
      <w:r>
        <w:rPr>
          <w:rFonts w:ascii="Times New Roman" w:hAnsi="Times New Roman" w:eastAsia="黑体"/>
          <w:color w:val="auto"/>
          <w:sz w:val="36"/>
          <w:szCs w:val="36"/>
          <w:highlight w:val="none"/>
        </w:rPr>
        <w:t>合同条款</w:t>
      </w:r>
      <w:bookmarkEnd w:id="47"/>
    </w:p>
    <w:p w14:paraId="230B5A10">
      <w:pPr>
        <w:tabs>
          <w:tab w:val="left" w:pos="711"/>
        </w:tabs>
        <w:jc w:val="left"/>
        <w:rPr>
          <w:rFonts w:hint="eastAsia"/>
          <w:color w:val="auto"/>
          <w:highlight w:val="none"/>
        </w:rPr>
      </w:pPr>
      <w:r>
        <w:rPr>
          <w:rFonts w:hint="eastAsia"/>
          <w:color w:val="auto"/>
          <w:highlight w:val="none"/>
        </w:rPr>
        <w:tab/>
      </w:r>
    </w:p>
    <w:p w14:paraId="294A5273">
      <w:pPr>
        <w:tabs>
          <w:tab w:val="left" w:pos="711"/>
        </w:tabs>
        <w:ind w:firstLine="56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具体合同条款在比选申请人中标后与比选人通过谈判协商一致后签订。</w:t>
      </w:r>
    </w:p>
    <w:p w14:paraId="08ADA0C3">
      <w:pPr>
        <w:tabs>
          <w:tab w:val="left" w:pos="711"/>
        </w:tabs>
        <w:ind w:firstLine="560" w:firstLineChars="200"/>
        <w:jc w:val="left"/>
        <w:rPr>
          <w:rFonts w:hint="eastAsia" w:ascii="仿宋" w:hAnsi="仿宋" w:eastAsia="仿宋" w:cs="仿宋"/>
          <w:color w:val="auto"/>
          <w:highlight w:val="none"/>
        </w:rPr>
      </w:pPr>
    </w:p>
    <w:p w14:paraId="3C1AEDCC">
      <w:pPr>
        <w:pStyle w:val="4"/>
        <w:keepNext w:val="0"/>
        <w:pageBreakBefore/>
        <w:spacing w:before="0" w:after="0" w:line="480" w:lineRule="auto"/>
        <w:jc w:val="center"/>
        <w:rPr>
          <w:rFonts w:ascii="Times New Roman" w:hAnsi="Times New Roman" w:eastAsia="黑体"/>
          <w:b w:val="0"/>
          <w:color w:val="auto"/>
          <w:sz w:val="36"/>
          <w:szCs w:val="36"/>
          <w:highlight w:val="none"/>
        </w:rPr>
      </w:pPr>
      <w:bookmarkStart w:id="53" w:name="_Toc16940"/>
      <w:r>
        <w:rPr>
          <w:rFonts w:ascii="Times New Roman" w:hAnsi="Times New Roman" w:eastAsia="黑体"/>
          <w:b w:val="0"/>
          <w:color w:val="auto"/>
          <w:sz w:val="36"/>
          <w:szCs w:val="36"/>
          <w:highlight w:val="none"/>
        </w:rPr>
        <w:t xml:space="preserve">第五章  </w:t>
      </w:r>
      <w:bookmarkEnd w:id="48"/>
      <w:bookmarkEnd w:id="49"/>
      <w:bookmarkEnd w:id="50"/>
      <w:bookmarkEnd w:id="51"/>
      <w:bookmarkStart w:id="54" w:name="_Toc319145225"/>
      <w:bookmarkStart w:id="55" w:name="_Toc157235915"/>
      <w:bookmarkStart w:id="56" w:name="_Toc170621349"/>
      <w:bookmarkStart w:id="57" w:name="_Toc170621217"/>
      <w:r>
        <w:rPr>
          <w:rFonts w:ascii="Times New Roman" w:hAnsi="Times New Roman" w:eastAsia="黑体"/>
          <w:b w:val="0"/>
          <w:color w:val="auto"/>
          <w:sz w:val="36"/>
          <w:szCs w:val="36"/>
          <w:highlight w:val="none"/>
        </w:rPr>
        <w:t>比选申请文件格式</w:t>
      </w:r>
      <w:bookmarkEnd w:id="53"/>
    </w:p>
    <w:p w14:paraId="0BA84BF9">
      <w:pPr>
        <w:adjustRightInd w:val="0"/>
        <w:snapToGrid w:val="0"/>
        <w:spacing w:line="480" w:lineRule="auto"/>
        <w:ind w:left="538" w:leftChars="192"/>
        <w:rPr>
          <w:rFonts w:ascii="Times New Roman" w:hAnsi="Times New Roman" w:eastAsia="仿宋"/>
          <w:b/>
          <w:bCs/>
          <w:color w:val="auto"/>
          <w:sz w:val="24"/>
          <w:highlight w:val="none"/>
        </w:rPr>
      </w:pPr>
    </w:p>
    <w:bookmarkEnd w:id="54"/>
    <w:bookmarkEnd w:id="55"/>
    <w:bookmarkEnd w:id="56"/>
    <w:bookmarkEnd w:id="57"/>
    <w:p w14:paraId="6B286F3D">
      <w:pPr>
        <w:spacing w:line="480" w:lineRule="auto"/>
        <w:ind w:left="538" w:leftChars="192"/>
        <w:rPr>
          <w:rFonts w:ascii="Times New Roman" w:hAnsi="Times New Roman" w:eastAsia="仿宋"/>
          <w:color w:val="auto"/>
          <w:szCs w:val="28"/>
          <w:highlight w:val="none"/>
        </w:rPr>
      </w:pPr>
    </w:p>
    <w:p w14:paraId="7629071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说明：</w:t>
      </w:r>
    </w:p>
    <w:p w14:paraId="702ADF3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（1） 比选申请人应按照本章提供的比选申请文件格式要求，提交比选申请文件；本章未提供格式的，由比选申请人自主编制；</w:t>
      </w:r>
    </w:p>
    <w:p w14:paraId="6B0DE71B">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（2）本章所附格式大小只是范例，可另附页；</w:t>
      </w:r>
    </w:p>
    <w:p w14:paraId="150A267A">
      <w:pPr>
        <w:spacing w:line="480" w:lineRule="exact"/>
        <w:ind w:firstLine="560" w:firstLineChars="200"/>
        <w:rPr>
          <w:rFonts w:ascii="Times New Roman" w:hAnsi="Times New Roman" w:eastAsia="仿宋"/>
          <w:color w:val="auto"/>
          <w:szCs w:val="28"/>
          <w:highlight w:val="none"/>
        </w:rPr>
      </w:pPr>
      <w:r>
        <w:rPr>
          <w:rFonts w:ascii="Times New Roman" w:hAnsi="Times New Roman" w:eastAsia="仿宋"/>
          <w:color w:val="auto"/>
          <w:szCs w:val="28"/>
          <w:highlight w:val="none"/>
        </w:rPr>
        <w:t>（3）比选申请文件密封后按规定的时间和地址提交。</w:t>
      </w:r>
    </w:p>
    <w:p w14:paraId="2738EF45">
      <w:pPr>
        <w:rPr>
          <w:color w:val="auto"/>
          <w:highlight w:val="none"/>
        </w:rPr>
      </w:pPr>
      <w:r>
        <w:rPr>
          <w:color w:val="auto"/>
          <w:highlight w:val="none"/>
        </w:rPr>
        <w:br w:type="page"/>
      </w:r>
    </w:p>
    <w:p w14:paraId="0F429C69">
      <w:pPr>
        <w:spacing w:line="480" w:lineRule="auto"/>
        <w:jc w:val="center"/>
        <w:rPr>
          <w:rFonts w:ascii="Times New Roman" w:hAnsi="Times New Roman" w:eastAsia="方正小标宋简体"/>
          <w:b/>
          <w:color w:val="auto"/>
          <w:sz w:val="48"/>
          <w:szCs w:val="48"/>
          <w:highlight w:val="none"/>
          <w:lang w:bidi="ar"/>
        </w:rPr>
      </w:pPr>
      <w:r>
        <w:rPr>
          <w:rFonts w:ascii="Times New Roman" w:hAnsi="Times New Roman" w:eastAsia="方正小标宋简体"/>
          <w:b/>
          <w:color w:val="auto"/>
          <w:sz w:val="48"/>
          <w:szCs w:val="48"/>
          <w:highlight w:val="none"/>
          <w:lang w:bidi="ar"/>
        </w:rPr>
        <w:t>（项目名称）</w:t>
      </w:r>
    </w:p>
    <w:p w14:paraId="1DCC02CF">
      <w:pPr>
        <w:spacing w:line="480" w:lineRule="auto"/>
        <w:jc w:val="center"/>
        <w:rPr>
          <w:rFonts w:ascii="Times New Roman" w:hAnsi="Times New Roman" w:eastAsia="方正小标宋简体"/>
          <w:bCs/>
          <w:color w:val="auto"/>
          <w:sz w:val="72"/>
          <w:szCs w:val="72"/>
          <w:highlight w:val="none"/>
        </w:rPr>
      </w:pPr>
      <w:r>
        <w:rPr>
          <w:rFonts w:ascii="Times New Roman" w:hAnsi="Times New Roman" w:eastAsia="方正小标宋简体"/>
          <w:bCs/>
          <w:color w:val="auto"/>
          <w:sz w:val="72"/>
          <w:szCs w:val="72"/>
          <w:highlight w:val="none"/>
        </w:rPr>
        <w:t>比选申请文件</w:t>
      </w:r>
    </w:p>
    <w:p w14:paraId="175B6A70">
      <w:pPr>
        <w:spacing w:line="480" w:lineRule="auto"/>
        <w:ind w:left="538" w:leftChars="192"/>
        <w:jc w:val="center"/>
        <w:rPr>
          <w:rFonts w:ascii="Times New Roman" w:hAnsi="Times New Roman" w:eastAsia="仿宋"/>
          <w:b/>
          <w:bCs/>
          <w:color w:val="auto"/>
          <w:sz w:val="40"/>
          <w:highlight w:val="none"/>
        </w:rPr>
      </w:pPr>
    </w:p>
    <w:p w14:paraId="0DF47816">
      <w:pPr>
        <w:spacing w:line="480" w:lineRule="auto"/>
        <w:ind w:left="538" w:leftChars="192"/>
        <w:jc w:val="center"/>
        <w:rPr>
          <w:rFonts w:ascii="Times New Roman" w:hAnsi="Times New Roman" w:eastAsia="仿宋"/>
          <w:b/>
          <w:bCs/>
          <w:strike/>
          <w:color w:val="auto"/>
          <w:sz w:val="40"/>
          <w:highlight w:val="none"/>
        </w:rPr>
      </w:pPr>
    </w:p>
    <w:p w14:paraId="68FAFCDC">
      <w:pPr>
        <w:spacing w:line="480" w:lineRule="auto"/>
        <w:ind w:left="538" w:leftChars="192"/>
        <w:jc w:val="center"/>
        <w:rPr>
          <w:rFonts w:ascii="Times New Roman" w:hAnsi="Times New Roman" w:eastAsia="仿宋"/>
          <w:b/>
          <w:bCs/>
          <w:color w:val="auto"/>
          <w:sz w:val="44"/>
          <w:highlight w:val="none"/>
          <w:u w:val="single"/>
        </w:rPr>
      </w:pPr>
    </w:p>
    <w:p w14:paraId="4374B569">
      <w:pPr>
        <w:spacing w:line="480" w:lineRule="auto"/>
        <w:ind w:left="538" w:leftChars="192"/>
        <w:jc w:val="center"/>
        <w:rPr>
          <w:rFonts w:ascii="Times New Roman" w:hAnsi="Times New Roman" w:eastAsia="仿宋"/>
          <w:b/>
          <w:bCs/>
          <w:color w:val="auto"/>
          <w:sz w:val="44"/>
          <w:highlight w:val="none"/>
          <w:u w:val="single"/>
        </w:rPr>
      </w:pPr>
    </w:p>
    <w:p w14:paraId="06380730">
      <w:pPr>
        <w:spacing w:line="480" w:lineRule="auto"/>
        <w:ind w:left="538" w:leftChars="192"/>
        <w:jc w:val="center"/>
        <w:rPr>
          <w:rFonts w:ascii="Times New Roman" w:hAnsi="Times New Roman" w:eastAsia="仿宋"/>
          <w:b/>
          <w:bCs/>
          <w:color w:val="auto"/>
          <w:sz w:val="44"/>
          <w:highlight w:val="none"/>
        </w:rPr>
      </w:pPr>
    </w:p>
    <w:p w14:paraId="69C44E7C">
      <w:pPr>
        <w:spacing w:line="480" w:lineRule="auto"/>
        <w:ind w:left="538" w:leftChars="192"/>
        <w:jc w:val="center"/>
        <w:rPr>
          <w:rFonts w:ascii="Times New Roman" w:hAnsi="Times New Roman" w:eastAsia="仿宋"/>
          <w:b/>
          <w:bCs/>
          <w:color w:val="auto"/>
          <w:sz w:val="44"/>
          <w:highlight w:val="none"/>
        </w:rPr>
      </w:pPr>
    </w:p>
    <w:p w14:paraId="090AAE72">
      <w:pPr>
        <w:spacing w:line="480" w:lineRule="auto"/>
        <w:ind w:left="538" w:leftChars="192"/>
        <w:jc w:val="center"/>
        <w:rPr>
          <w:rFonts w:ascii="Times New Roman" w:hAnsi="Times New Roman" w:eastAsia="仿宋"/>
          <w:b/>
          <w:bCs/>
          <w:color w:val="auto"/>
          <w:sz w:val="44"/>
          <w:highlight w:val="none"/>
        </w:rPr>
      </w:pPr>
    </w:p>
    <w:p w14:paraId="2B3B52A4">
      <w:pPr>
        <w:spacing w:line="480" w:lineRule="auto"/>
        <w:ind w:left="538" w:leftChars="192"/>
        <w:jc w:val="center"/>
        <w:rPr>
          <w:rFonts w:ascii="Times New Roman" w:hAnsi="Times New Roman" w:eastAsia="仿宋"/>
          <w:b/>
          <w:bCs/>
          <w:color w:val="auto"/>
          <w:sz w:val="44"/>
          <w:highlight w:val="none"/>
        </w:rPr>
      </w:pPr>
    </w:p>
    <w:p w14:paraId="412B2E18">
      <w:pPr>
        <w:spacing w:line="480" w:lineRule="auto"/>
        <w:ind w:left="538" w:leftChars="192"/>
        <w:jc w:val="center"/>
        <w:rPr>
          <w:rFonts w:ascii="Times New Roman" w:hAnsi="Times New Roman" w:eastAsia="仿宋"/>
          <w:b/>
          <w:bCs/>
          <w:color w:val="auto"/>
          <w:sz w:val="44"/>
          <w:highlight w:val="none"/>
        </w:rPr>
      </w:pPr>
    </w:p>
    <w:p w14:paraId="3F8825A3">
      <w:pPr>
        <w:spacing w:line="480" w:lineRule="auto"/>
        <w:ind w:left="538" w:leftChars="192"/>
        <w:jc w:val="center"/>
        <w:rPr>
          <w:rFonts w:ascii="Times New Roman" w:hAnsi="Times New Roman" w:eastAsia="仿宋"/>
          <w:b/>
          <w:bCs/>
          <w:color w:val="auto"/>
          <w:sz w:val="44"/>
          <w:highlight w:val="none"/>
        </w:rPr>
      </w:pPr>
    </w:p>
    <w:p w14:paraId="175A2A01">
      <w:pPr>
        <w:spacing w:line="480" w:lineRule="auto"/>
        <w:ind w:left="538" w:leftChars="192"/>
        <w:jc w:val="center"/>
        <w:rPr>
          <w:rFonts w:ascii="Times New Roman" w:hAnsi="Times New Roman" w:eastAsia="仿宋"/>
          <w:bCs/>
          <w:color w:val="auto"/>
          <w:sz w:val="32"/>
          <w:szCs w:val="36"/>
          <w:highlight w:val="none"/>
          <w:u w:val="single"/>
        </w:rPr>
      </w:pPr>
      <w:r>
        <w:rPr>
          <w:rFonts w:ascii="Times New Roman" w:hAnsi="Times New Roman" w:eastAsia="仿宋"/>
          <w:bCs/>
          <w:color w:val="auto"/>
          <w:sz w:val="32"/>
          <w:szCs w:val="36"/>
          <w:highlight w:val="none"/>
        </w:rPr>
        <w:t>比选申请人：</w:t>
      </w:r>
      <w:r>
        <w:rPr>
          <w:rFonts w:ascii="Times New Roman" w:hAnsi="Times New Roman" w:eastAsia="仿宋"/>
          <w:bCs/>
          <w:color w:val="auto"/>
          <w:sz w:val="32"/>
          <w:szCs w:val="36"/>
          <w:highlight w:val="none"/>
          <w:u w:val="single"/>
        </w:rPr>
        <w:t xml:space="preserve">           </w:t>
      </w:r>
      <w:r>
        <w:rPr>
          <w:rFonts w:ascii="Times New Roman" w:hAnsi="Times New Roman" w:eastAsia="仿宋"/>
          <w:bCs/>
          <w:color w:val="auto"/>
          <w:sz w:val="32"/>
          <w:szCs w:val="36"/>
          <w:highlight w:val="none"/>
        </w:rPr>
        <w:t>（全称并盖</w:t>
      </w:r>
      <w:r>
        <w:rPr>
          <w:rFonts w:hint="eastAsia" w:ascii="Times New Roman" w:hAnsi="Times New Roman" w:eastAsia="仿宋"/>
          <w:bCs/>
          <w:color w:val="auto"/>
          <w:sz w:val="32"/>
          <w:szCs w:val="36"/>
          <w:highlight w:val="none"/>
        </w:rPr>
        <w:t>单位</w:t>
      </w:r>
      <w:r>
        <w:rPr>
          <w:rFonts w:ascii="Times New Roman" w:hAnsi="Times New Roman" w:eastAsia="仿宋"/>
          <w:bCs/>
          <w:color w:val="auto"/>
          <w:sz w:val="32"/>
          <w:szCs w:val="36"/>
          <w:highlight w:val="none"/>
        </w:rPr>
        <w:t>章）</w:t>
      </w:r>
    </w:p>
    <w:p w14:paraId="79835FF1">
      <w:pPr>
        <w:spacing w:line="480" w:lineRule="auto"/>
        <w:ind w:left="538" w:leftChars="192"/>
        <w:jc w:val="center"/>
        <w:rPr>
          <w:rFonts w:ascii="Times New Roman" w:hAnsi="Times New Roman" w:eastAsia="仿宋"/>
          <w:bCs/>
          <w:color w:val="auto"/>
          <w:sz w:val="32"/>
          <w:szCs w:val="36"/>
          <w:highlight w:val="none"/>
          <w:u w:val="single"/>
        </w:rPr>
      </w:pPr>
    </w:p>
    <w:p w14:paraId="0EC2ED75">
      <w:pPr>
        <w:spacing w:line="480" w:lineRule="auto"/>
        <w:ind w:left="538" w:leftChars="192"/>
        <w:jc w:val="center"/>
        <w:rPr>
          <w:rFonts w:ascii="Times New Roman" w:hAnsi="Times New Roman" w:eastAsia="黑体"/>
          <w:b/>
          <w:color w:val="auto"/>
          <w:sz w:val="36"/>
          <w:szCs w:val="36"/>
          <w:highlight w:val="none"/>
        </w:rPr>
      </w:pPr>
      <w:r>
        <w:rPr>
          <w:rFonts w:ascii="Times New Roman" w:hAnsi="Times New Roman" w:eastAsia="仿宋"/>
          <w:bCs/>
          <w:color w:val="auto"/>
          <w:sz w:val="32"/>
          <w:szCs w:val="32"/>
          <w:highlight w:val="none"/>
        </w:rPr>
        <w:t>年</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月</w:t>
      </w:r>
      <w:r>
        <w:rPr>
          <w:rFonts w:ascii="Times New Roman" w:hAnsi="Times New Roman" w:eastAsia="仿宋"/>
          <w:bCs/>
          <w:color w:val="auto"/>
          <w:sz w:val="32"/>
          <w:szCs w:val="32"/>
          <w:highlight w:val="none"/>
          <w:u w:val="single"/>
        </w:rPr>
        <w:t xml:space="preserve">   </w:t>
      </w:r>
      <w:r>
        <w:rPr>
          <w:rFonts w:ascii="Times New Roman" w:hAnsi="Times New Roman" w:eastAsia="仿宋"/>
          <w:bCs/>
          <w:color w:val="auto"/>
          <w:sz w:val="32"/>
          <w:szCs w:val="32"/>
          <w:highlight w:val="none"/>
        </w:rPr>
        <w:t>日</w:t>
      </w:r>
      <w:r>
        <w:rPr>
          <w:rFonts w:ascii="Times New Roman" w:hAnsi="Times New Roman" w:eastAsia="仿宋"/>
          <w:color w:val="auto"/>
          <w:sz w:val="21"/>
          <w:szCs w:val="21"/>
          <w:highlight w:val="none"/>
        </w:rPr>
        <w:br w:type="page"/>
      </w:r>
      <w:bookmarkStart w:id="58" w:name="_Toc157235917"/>
      <w:bookmarkStart w:id="59" w:name="_Toc170621351"/>
      <w:bookmarkStart w:id="60" w:name="_Toc170621219"/>
      <w:r>
        <w:rPr>
          <w:rFonts w:ascii="Times New Roman" w:hAnsi="Times New Roman" w:eastAsia="黑体"/>
          <w:b/>
          <w:color w:val="auto"/>
          <w:sz w:val="36"/>
          <w:szCs w:val="36"/>
          <w:highlight w:val="none"/>
        </w:rPr>
        <w:t>目  录</w:t>
      </w:r>
    </w:p>
    <w:p w14:paraId="427B828D">
      <w:pPr>
        <w:spacing w:line="480" w:lineRule="auto"/>
        <w:ind w:left="538" w:leftChars="192"/>
        <w:rPr>
          <w:rFonts w:ascii="Times New Roman" w:hAnsi="Times New Roman" w:eastAsia="仿宋"/>
          <w:b/>
          <w:bCs/>
          <w:color w:val="auto"/>
          <w:sz w:val="24"/>
          <w:highlight w:val="none"/>
        </w:rPr>
      </w:pPr>
    </w:p>
    <w:p w14:paraId="2DA7C7B0">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一、比选函</w:t>
      </w:r>
    </w:p>
    <w:p w14:paraId="31F67E09">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二、法定代表人身份证明</w:t>
      </w:r>
    </w:p>
    <w:p w14:paraId="753C02A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三、授权委托书</w:t>
      </w:r>
    </w:p>
    <w:p w14:paraId="5ABF57C3">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四、资格审查资料</w:t>
      </w:r>
    </w:p>
    <w:p w14:paraId="7B12AF3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rPr>
        <w:t>五、比选申请人承诺书</w:t>
      </w:r>
    </w:p>
    <w:p w14:paraId="3FFE7D34">
      <w:pPr>
        <w:spacing w:line="520" w:lineRule="exact"/>
        <w:ind w:firstLine="678"/>
        <w:rPr>
          <w:rFonts w:hint="default"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rPr>
        <w:t>六、</w:t>
      </w:r>
      <w:r>
        <w:rPr>
          <w:rFonts w:hint="eastAsia" w:ascii="Times New Roman" w:hAnsi="Times New Roman" w:eastAsia="仿宋"/>
          <w:b/>
          <w:bCs/>
          <w:color w:val="auto"/>
          <w:spacing w:val="5"/>
          <w:szCs w:val="28"/>
          <w:highlight w:val="none"/>
          <w:lang w:val="en-US" w:eastAsia="zh-CN"/>
        </w:rPr>
        <w:t>技术要求响应材料（如有）</w:t>
      </w:r>
    </w:p>
    <w:p w14:paraId="0153C406">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lang w:val="en-US" w:eastAsia="zh-CN"/>
        </w:rPr>
        <w:t>七、</w:t>
      </w:r>
      <w:r>
        <w:rPr>
          <w:rFonts w:hint="eastAsia" w:ascii="Times New Roman" w:hAnsi="Times New Roman" w:eastAsia="仿宋"/>
          <w:b/>
          <w:bCs/>
          <w:color w:val="auto"/>
          <w:spacing w:val="5"/>
          <w:szCs w:val="28"/>
          <w:highlight w:val="none"/>
        </w:rPr>
        <w:fldChar w:fldCharType="begin"/>
      </w:r>
      <w:r>
        <w:rPr>
          <w:rFonts w:hint="eastAsia" w:ascii="Times New Roman" w:hAnsi="Times New Roman" w:eastAsia="仿宋"/>
          <w:b/>
          <w:bCs/>
          <w:color w:val="auto"/>
          <w:spacing w:val="5"/>
          <w:szCs w:val="28"/>
          <w:highlight w:val="none"/>
        </w:rPr>
        <w:instrText xml:space="preserve"> HYPERLINK \l "_Toc4641" </w:instrText>
      </w:r>
      <w:r>
        <w:rPr>
          <w:rFonts w:hint="eastAsia" w:ascii="Times New Roman" w:hAnsi="Times New Roman" w:eastAsia="仿宋"/>
          <w:b/>
          <w:bCs/>
          <w:color w:val="auto"/>
          <w:spacing w:val="5"/>
          <w:szCs w:val="28"/>
          <w:highlight w:val="none"/>
        </w:rPr>
        <w:fldChar w:fldCharType="separate"/>
      </w:r>
      <w:r>
        <w:rPr>
          <w:rFonts w:hint="eastAsia" w:ascii="Times New Roman" w:hAnsi="Times New Roman" w:eastAsia="仿宋"/>
          <w:b/>
          <w:bCs/>
          <w:color w:val="auto"/>
          <w:spacing w:val="5"/>
          <w:szCs w:val="28"/>
          <w:highlight w:val="none"/>
          <w:lang w:val="en-US" w:eastAsia="zh-CN"/>
        </w:rPr>
        <w:t>项目实施</w:t>
      </w:r>
      <w:r>
        <w:rPr>
          <w:rFonts w:hint="eastAsia" w:ascii="Times New Roman" w:hAnsi="Times New Roman" w:eastAsia="仿宋"/>
          <w:b/>
          <w:bCs/>
          <w:color w:val="auto"/>
          <w:spacing w:val="5"/>
          <w:szCs w:val="28"/>
          <w:highlight w:val="none"/>
        </w:rPr>
        <w:t>方案</w:t>
      </w:r>
      <w:r>
        <w:rPr>
          <w:rFonts w:hint="eastAsia" w:ascii="Times New Roman" w:hAnsi="Times New Roman" w:eastAsia="仿宋"/>
          <w:b/>
          <w:bCs/>
          <w:color w:val="auto"/>
          <w:spacing w:val="5"/>
          <w:szCs w:val="28"/>
          <w:highlight w:val="none"/>
        </w:rPr>
        <w:fldChar w:fldCharType="end"/>
      </w:r>
    </w:p>
    <w:p w14:paraId="70484BEF">
      <w:pPr>
        <w:spacing w:line="520" w:lineRule="exact"/>
        <w:ind w:firstLine="678"/>
        <w:rPr>
          <w:rFonts w:hint="eastAsia"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lang w:val="en-US" w:eastAsia="zh-CN"/>
        </w:rPr>
        <w:t>八</w:t>
      </w:r>
      <w:r>
        <w:rPr>
          <w:rFonts w:hint="eastAsia" w:ascii="Times New Roman" w:hAnsi="Times New Roman" w:eastAsia="仿宋"/>
          <w:b/>
          <w:bCs/>
          <w:color w:val="auto"/>
          <w:spacing w:val="5"/>
          <w:szCs w:val="28"/>
          <w:highlight w:val="none"/>
        </w:rPr>
        <w:t>、比选申请人的</w:t>
      </w:r>
      <w:r>
        <w:rPr>
          <w:rFonts w:hint="eastAsia" w:ascii="Times New Roman" w:hAnsi="Times New Roman" w:eastAsia="仿宋"/>
          <w:b/>
          <w:bCs/>
          <w:color w:val="auto"/>
          <w:spacing w:val="5"/>
          <w:szCs w:val="28"/>
          <w:highlight w:val="none"/>
          <w:lang w:val="en-US" w:eastAsia="zh-CN"/>
        </w:rPr>
        <w:t>履约能力承诺</w:t>
      </w:r>
    </w:p>
    <w:p w14:paraId="181FF5A6">
      <w:pPr>
        <w:spacing w:line="520" w:lineRule="exact"/>
        <w:ind w:firstLine="678"/>
        <w:rPr>
          <w:rFonts w:hint="eastAsia" w:ascii="Times New Roman" w:hAnsi="Times New Roman" w:eastAsia="仿宋"/>
          <w:b/>
          <w:bCs/>
          <w:color w:val="auto"/>
          <w:spacing w:val="5"/>
          <w:szCs w:val="28"/>
          <w:highlight w:val="none"/>
          <w:lang w:val="en-US" w:eastAsia="zh-CN"/>
        </w:rPr>
      </w:pPr>
      <w:r>
        <w:rPr>
          <w:rFonts w:hint="eastAsia" w:ascii="Times New Roman" w:hAnsi="Times New Roman" w:eastAsia="仿宋"/>
          <w:b/>
          <w:bCs/>
          <w:color w:val="auto"/>
          <w:spacing w:val="5"/>
          <w:szCs w:val="28"/>
          <w:highlight w:val="none"/>
          <w:lang w:val="en-US" w:eastAsia="zh-CN"/>
        </w:rPr>
        <w:t>九</w:t>
      </w:r>
      <w:r>
        <w:rPr>
          <w:rFonts w:hint="eastAsia" w:ascii="Times New Roman" w:hAnsi="Times New Roman" w:eastAsia="仿宋"/>
          <w:b/>
          <w:bCs/>
          <w:color w:val="auto"/>
          <w:spacing w:val="5"/>
          <w:szCs w:val="28"/>
          <w:highlight w:val="none"/>
        </w:rPr>
        <w:t>、比选申请人的信誉情况</w:t>
      </w:r>
      <w:r>
        <w:rPr>
          <w:rFonts w:hint="eastAsia" w:ascii="Times New Roman" w:hAnsi="Times New Roman" w:eastAsia="仿宋"/>
          <w:b/>
          <w:bCs/>
          <w:color w:val="auto"/>
          <w:spacing w:val="5"/>
          <w:szCs w:val="28"/>
          <w:highlight w:val="none"/>
          <w:lang w:val="en-US" w:eastAsia="zh-CN"/>
        </w:rPr>
        <w:t>承诺</w:t>
      </w:r>
    </w:p>
    <w:p w14:paraId="1A2E3FE3">
      <w:pPr>
        <w:spacing w:line="520" w:lineRule="exact"/>
        <w:ind w:firstLine="678"/>
        <w:rPr>
          <w:rFonts w:hint="eastAsia" w:ascii="Times New Roman" w:hAnsi="Times New Roman" w:eastAsia="仿宋"/>
          <w:b/>
          <w:bCs/>
          <w:color w:val="auto"/>
          <w:spacing w:val="5"/>
          <w:szCs w:val="28"/>
          <w:highlight w:val="none"/>
        </w:rPr>
      </w:pPr>
      <w:r>
        <w:rPr>
          <w:rFonts w:hint="eastAsia" w:ascii="Times New Roman" w:hAnsi="Times New Roman" w:eastAsia="仿宋"/>
          <w:b/>
          <w:bCs/>
          <w:color w:val="auto"/>
          <w:spacing w:val="5"/>
          <w:szCs w:val="28"/>
          <w:highlight w:val="none"/>
          <w:lang w:val="en-US" w:eastAsia="zh-CN"/>
        </w:rPr>
        <w:t>十</w:t>
      </w:r>
      <w:r>
        <w:rPr>
          <w:rFonts w:hint="eastAsia" w:ascii="Times New Roman" w:hAnsi="Times New Roman" w:eastAsia="仿宋"/>
          <w:b/>
          <w:bCs/>
          <w:color w:val="auto"/>
          <w:spacing w:val="5"/>
          <w:szCs w:val="28"/>
          <w:highlight w:val="none"/>
        </w:rPr>
        <w:t>、</w:t>
      </w:r>
      <w:r>
        <w:rPr>
          <w:rFonts w:hint="eastAsia" w:ascii="Times New Roman" w:hAnsi="Times New Roman" w:eastAsia="仿宋"/>
          <w:b/>
          <w:bCs/>
          <w:color w:val="auto"/>
          <w:spacing w:val="5"/>
          <w:szCs w:val="28"/>
          <w:highlight w:val="none"/>
        </w:rPr>
        <w:fldChar w:fldCharType="begin"/>
      </w:r>
      <w:r>
        <w:rPr>
          <w:rFonts w:hint="eastAsia" w:ascii="Times New Roman" w:hAnsi="Times New Roman" w:eastAsia="仿宋"/>
          <w:b/>
          <w:bCs/>
          <w:color w:val="auto"/>
          <w:spacing w:val="5"/>
          <w:szCs w:val="28"/>
          <w:highlight w:val="none"/>
        </w:rPr>
        <w:instrText xml:space="preserve"> HYPERLINK \l "_Toc4641" </w:instrText>
      </w:r>
      <w:r>
        <w:rPr>
          <w:rFonts w:hint="eastAsia" w:ascii="Times New Roman" w:hAnsi="Times New Roman" w:eastAsia="仿宋"/>
          <w:b/>
          <w:bCs/>
          <w:color w:val="auto"/>
          <w:spacing w:val="5"/>
          <w:szCs w:val="28"/>
          <w:highlight w:val="none"/>
        </w:rPr>
        <w:fldChar w:fldCharType="separate"/>
      </w:r>
      <w:r>
        <w:rPr>
          <w:rFonts w:hint="eastAsia" w:ascii="Times New Roman" w:hAnsi="Times New Roman" w:eastAsia="仿宋"/>
          <w:b/>
          <w:bCs/>
          <w:color w:val="auto"/>
          <w:spacing w:val="5"/>
          <w:szCs w:val="28"/>
          <w:highlight w:val="none"/>
        </w:rPr>
        <w:t>其他材料</w:t>
      </w:r>
      <w:r>
        <w:rPr>
          <w:rFonts w:hint="eastAsia" w:ascii="Times New Roman" w:hAnsi="Times New Roman" w:eastAsia="仿宋"/>
          <w:b/>
          <w:bCs/>
          <w:color w:val="auto"/>
          <w:spacing w:val="5"/>
          <w:szCs w:val="28"/>
          <w:highlight w:val="none"/>
        </w:rPr>
        <w:fldChar w:fldCharType="end"/>
      </w:r>
    </w:p>
    <w:p w14:paraId="3C743350">
      <w:pPr>
        <w:pStyle w:val="2"/>
        <w:rPr>
          <w:rFonts w:ascii="Times New Roman" w:hAnsi="Times New Roman"/>
          <w:color w:val="auto"/>
          <w:highlight w:val="none"/>
        </w:rPr>
      </w:pPr>
    </w:p>
    <w:p w14:paraId="4CCBAFD8">
      <w:pPr>
        <w:spacing w:line="480" w:lineRule="auto"/>
        <w:ind w:left="538" w:leftChars="192" w:firstLine="482"/>
        <w:rPr>
          <w:rFonts w:ascii="Times New Roman" w:hAnsi="Times New Roman" w:eastAsia="仿宋"/>
          <w:color w:val="auto"/>
          <w:highlight w:val="none"/>
        </w:rPr>
      </w:pPr>
    </w:p>
    <w:p w14:paraId="42CE89AB">
      <w:pPr>
        <w:spacing w:line="480" w:lineRule="auto"/>
        <w:ind w:left="538" w:leftChars="192" w:firstLine="482"/>
        <w:rPr>
          <w:rFonts w:ascii="Times New Roman" w:hAnsi="Times New Roman" w:eastAsia="仿宋"/>
          <w:color w:val="auto"/>
          <w:highlight w:val="none"/>
        </w:rPr>
      </w:pPr>
    </w:p>
    <w:p w14:paraId="361FD4AD">
      <w:pPr>
        <w:spacing w:line="480" w:lineRule="auto"/>
        <w:ind w:left="538" w:leftChars="192" w:firstLine="482"/>
        <w:rPr>
          <w:rFonts w:ascii="Times New Roman" w:hAnsi="Times New Roman" w:eastAsia="仿宋"/>
          <w:color w:val="auto"/>
          <w:highlight w:val="none"/>
        </w:rPr>
      </w:pPr>
    </w:p>
    <w:p w14:paraId="63EFCFDA">
      <w:pPr>
        <w:spacing w:line="480" w:lineRule="auto"/>
        <w:ind w:left="538" w:leftChars="192" w:firstLine="482"/>
        <w:rPr>
          <w:rFonts w:ascii="Times New Roman" w:hAnsi="Times New Roman" w:eastAsia="仿宋"/>
          <w:color w:val="auto"/>
          <w:highlight w:val="none"/>
        </w:rPr>
      </w:pPr>
    </w:p>
    <w:p w14:paraId="05AAD63E">
      <w:pPr>
        <w:spacing w:line="480" w:lineRule="auto"/>
        <w:ind w:left="538" w:leftChars="192" w:firstLine="482"/>
        <w:rPr>
          <w:rFonts w:ascii="Times New Roman" w:hAnsi="Times New Roman" w:eastAsia="仿宋"/>
          <w:color w:val="auto"/>
          <w:highlight w:val="none"/>
        </w:rPr>
      </w:pPr>
    </w:p>
    <w:p w14:paraId="7B01CF67">
      <w:pPr>
        <w:spacing w:before="91" w:line="400" w:lineRule="atLeast"/>
        <w:ind w:left="59"/>
        <w:rPr>
          <w:rFonts w:ascii="Times New Roman" w:hAnsi="Times New Roman"/>
          <w:color w:val="auto"/>
          <w:spacing w:val="-2"/>
          <w:szCs w:val="28"/>
          <w:highlight w:val="none"/>
        </w:rPr>
      </w:pPr>
    </w:p>
    <w:p w14:paraId="13E1DBC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一、比选函</w:t>
      </w:r>
    </w:p>
    <w:p w14:paraId="0A168B5D">
      <w:pPr>
        <w:spacing w:line="500" w:lineRule="exact"/>
        <w:rPr>
          <w:rFonts w:ascii="Times New Roman" w:hAnsi="Times New Roman"/>
          <w:color w:val="auto"/>
          <w:spacing w:val="-2"/>
          <w:sz w:val="24"/>
          <w:highlight w:val="none"/>
        </w:rPr>
      </w:pPr>
    </w:p>
    <w:p w14:paraId="68934B6F">
      <w:pPr>
        <w:tabs>
          <w:tab w:val="left" w:pos="-2340"/>
        </w:tabs>
        <w:autoSpaceDE w:val="0"/>
        <w:autoSpaceDN w:val="0"/>
        <w:adjustRightInd w:val="0"/>
        <w:spacing w:line="400" w:lineRule="exact"/>
        <w:ind w:right="-2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（比选人名称）：</w:t>
      </w:r>
    </w:p>
    <w:p w14:paraId="00A65D9A">
      <w:pPr>
        <w:autoSpaceDE w:val="0"/>
        <w:autoSpaceDN w:val="0"/>
        <w:spacing w:line="400" w:lineRule="exact"/>
        <w:ind w:firstLine="560" w:firstLineChars="200"/>
        <w:rPr>
          <w:rFonts w:hint="eastAsia" w:ascii="仿宋" w:hAnsi="仿宋" w:eastAsia="仿宋" w:cs="仿宋"/>
          <w:color w:val="auto"/>
          <w:kern w:val="0"/>
          <w:szCs w:val="28"/>
          <w:highlight w:val="none"/>
        </w:rPr>
      </w:pPr>
    </w:p>
    <w:p w14:paraId="30E13135">
      <w:pPr>
        <w:spacing w:line="400" w:lineRule="exact"/>
        <w:ind w:firstLine="840" w:firstLineChars="300"/>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1.</w:t>
      </w:r>
      <w:r>
        <w:rPr>
          <w:rFonts w:hint="eastAsia" w:ascii="仿宋" w:hAnsi="仿宋" w:eastAsia="仿宋" w:cs="仿宋"/>
          <w:color w:val="auto"/>
          <w:spacing w:val="2"/>
          <w:kern w:val="0"/>
          <w:szCs w:val="28"/>
          <w:highlight w:val="none"/>
        </w:rPr>
        <w:t>我方已仔细研</w:t>
      </w:r>
      <w:r>
        <w:rPr>
          <w:rFonts w:hint="eastAsia" w:ascii="仿宋" w:hAnsi="仿宋" w:eastAsia="仿宋" w:cs="仿宋"/>
          <w:color w:val="auto"/>
          <w:spacing w:val="1"/>
          <w:kern w:val="0"/>
          <w:szCs w:val="28"/>
          <w:highlight w:val="none"/>
        </w:rPr>
        <w:t>究</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（项目名称）</w:t>
      </w:r>
      <w:r>
        <w:rPr>
          <w:rFonts w:hint="eastAsia" w:ascii="仿宋" w:hAnsi="仿宋" w:eastAsia="仿宋" w:cs="仿宋"/>
          <w:color w:val="auto"/>
          <w:spacing w:val="2"/>
          <w:kern w:val="0"/>
          <w:szCs w:val="28"/>
          <w:highlight w:val="none"/>
        </w:rPr>
        <w:t>比选文</w:t>
      </w:r>
      <w:r>
        <w:rPr>
          <w:rFonts w:hint="eastAsia" w:ascii="仿宋" w:hAnsi="仿宋" w:eastAsia="仿宋" w:cs="仿宋"/>
          <w:color w:val="auto"/>
          <w:kern w:val="0"/>
          <w:szCs w:val="28"/>
          <w:highlight w:val="none"/>
        </w:rPr>
        <w:t>件</w:t>
      </w:r>
      <w:r>
        <w:rPr>
          <w:rFonts w:hint="eastAsia" w:ascii="仿宋" w:hAnsi="仿宋" w:eastAsia="仿宋" w:cs="仿宋"/>
          <w:color w:val="auto"/>
          <w:spacing w:val="2"/>
          <w:kern w:val="0"/>
          <w:szCs w:val="28"/>
          <w:highlight w:val="none"/>
        </w:rPr>
        <w:t>的全部内容</w:t>
      </w:r>
      <w:r>
        <w:rPr>
          <w:rFonts w:hint="eastAsia" w:ascii="仿宋" w:hAnsi="仿宋" w:eastAsia="仿宋" w:cs="仿宋"/>
          <w:color w:val="auto"/>
          <w:kern w:val="0"/>
          <w:szCs w:val="28"/>
          <w:highlight w:val="none"/>
        </w:rPr>
        <w:t>，</w:t>
      </w:r>
      <w:r>
        <w:rPr>
          <w:rFonts w:hint="eastAsia" w:ascii="仿宋" w:hAnsi="仿宋" w:eastAsia="仿宋" w:cs="仿宋"/>
          <w:color w:val="auto"/>
          <w:spacing w:val="2"/>
          <w:kern w:val="0"/>
          <w:szCs w:val="28"/>
          <w:highlight w:val="none"/>
        </w:rPr>
        <w:t xml:space="preserve">愿意以 </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元（大写</w:t>
      </w:r>
      <w:r>
        <w:rPr>
          <w:rFonts w:hint="eastAsia" w:ascii="仿宋" w:hAnsi="仿宋" w:eastAsia="仿宋" w:cs="仿宋"/>
          <w:color w:val="auto"/>
          <w:spacing w:val="2"/>
          <w:kern w:val="0"/>
          <w:szCs w:val="28"/>
          <w:highlight w:val="none"/>
          <w:u w:val="single"/>
        </w:rPr>
        <w:t xml:space="preserve">    </w:t>
      </w:r>
      <w:r>
        <w:rPr>
          <w:rFonts w:hint="eastAsia" w:ascii="仿宋" w:hAnsi="仿宋" w:eastAsia="仿宋" w:cs="仿宋"/>
          <w:color w:val="auto"/>
          <w:spacing w:val="2"/>
          <w:kern w:val="0"/>
          <w:szCs w:val="28"/>
          <w:highlight w:val="none"/>
        </w:rPr>
        <w:t>）的比选报价按合同约定完成工作。</w:t>
      </w:r>
    </w:p>
    <w:p w14:paraId="1BDB4F24">
      <w:pPr>
        <w:spacing w:line="400" w:lineRule="exact"/>
        <w:ind w:firstLine="560" w:firstLineChars="200"/>
        <w:rPr>
          <w:rFonts w:hint="eastAsia" w:ascii="仿宋" w:hAnsi="仿宋" w:eastAsia="仿宋" w:cs="仿宋"/>
          <w:color w:val="auto"/>
          <w:szCs w:val="28"/>
          <w:highlight w:val="none"/>
        </w:rPr>
      </w:pPr>
      <w:r>
        <w:rPr>
          <w:rFonts w:hint="eastAsia" w:ascii="仿宋" w:hAnsi="仿宋" w:eastAsia="仿宋" w:cs="仿宋"/>
          <w:color w:val="auto"/>
          <w:kern w:val="0"/>
          <w:szCs w:val="28"/>
          <w:highlight w:val="none"/>
        </w:rPr>
        <w:t>2.</w:t>
      </w:r>
      <w:r>
        <w:rPr>
          <w:rFonts w:hint="eastAsia" w:ascii="仿宋" w:hAnsi="仿宋" w:eastAsia="仿宋" w:cs="仿宋"/>
          <w:color w:val="auto"/>
          <w:szCs w:val="28"/>
          <w:highlight w:val="none"/>
        </w:rPr>
        <w:t>我方承诺在比选文件规定的比选有效期内不撤销比选申请文件。</w:t>
      </w:r>
    </w:p>
    <w:p w14:paraId="6A78A54E">
      <w:pPr>
        <w:spacing w:line="400" w:lineRule="exact"/>
        <w:ind w:firstLine="560" w:firstLineChars="200"/>
        <w:rPr>
          <w:rFonts w:hint="default" w:ascii="仿宋" w:hAnsi="仿宋" w:eastAsia="仿宋" w:cs="仿宋"/>
          <w:color w:val="auto"/>
          <w:kern w:val="0"/>
          <w:szCs w:val="28"/>
          <w:highlight w:val="none"/>
          <w:u w:val="none"/>
          <w:lang w:val="en-US" w:eastAsia="zh-CN"/>
        </w:rPr>
      </w:pPr>
      <w:r>
        <w:rPr>
          <w:rFonts w:hint="eastAsia" w:ascii="仿宋" w:hAnsi="仿宋" w:eastAsia="仿宋" w:cs="仿宋"/>
          <w:color w:val="auto"/>
          <w:szCs w:val="28"/>
          <w:highlight w:val="none"/>
        </w:rPr>
        <w:t>3.</w:t>
      </w:r>
      <w:r>
        <w:rPr>
          <w:rFonts w:hint="eastAsia" w:ascii="仿宋" w:hAnsi="仿宋" w:eastAsia="仿宋" w:cs="仿宋"/>
          <w:color w:val="auto"/>
          <w:kern w:val="0"/>
          <w:szCs w:val="28"/>
          <w:highlight w:val="none"/>
        </w:rPr>
        <w:t>项目负责人姓名</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，年龄</w:t>
      </w:r>
      <w:r>
        <w:rPr>
          <w:rFonts w:hint="eastAsia" w:ascii="仿宋" w:hAnsi="仿宋" w:eastAsia="仿宋" w:cs="仿宋"/>
          <w:color w:val="auto"/>
          <w:spacing w:val="-34"/>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lang w:eastAsia="zh-CN"/>
        </w:rPr>
        <w:t>，</w:t>
      </w:r>
      <w:r>
        <w:rPr>
          <w:rFonts w:hint="eastAsia" w:ascii="仿宋" w:hAnsi="仿宋" w:eastAsia="仿宋" w:cs="仿宋"/>
          <w:color w:val="auto"/>
          <w:kern w:val="0"/>
          <w:szCs w:val="28"/>
          <w:highlight w:val="none"/>
          <w:lang w:val="en-US" w:eastAsia="zh-CN"/>
        </w:rPr>
        <w:t>联系电话：</w:t>
      </w:r>
      <w:r>
        <w:rPr>
          <w:rFonts w:hint="eastAsia" w:ascii="仿宋" w:hAnsi="仿宋" w:eastAsia="仿宋" w:cs="仿宋"/>
          <w:color w:val="auto"/>
          <w:kern w:val="0"/>
          <w:szCs w:val="28"/>
          <w:highlight w:val="none"/>
          <w:u w:val="single"/>
          <w:lang w:val="en-US" w:eastAsia="zh-CN"/>
        </w:rPr>
        <w:t xml:space="preserve">      </w:t>
      </w:r>
      <w:r>
        <w:rPr>
          <w:rFonts w:hint="eastAsia" w:ascii="仿宋" w:hAnsi="仿宋" w:eastAsia="仿宋" w:cs="仿宋"/>
          <w:color w:val="auto"/>
          <w:kern w:val="0"/>
          <w:szCs w:val="28"/>
          <w:highlight w:val="none"/>
          <w:u w:val="none"/>
          <w:lang w:val="en-US" w:eastAsia="zh-CN"/>
        </w:rPr>
        <w:t>。</w:t>
      </w:r>
    </w:p>
    <w:p w14:paraId="0891C341">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4.服务要求</w:t>
      </w:r>
      <w:r>
        <w:rPr>
          <w:rFonts w:hint="eastAsia" w:ascii="仿宋" w:hAnsi="仿宋" w:eastAsia="仿宋" w:cs="仿宋"/>
          <w:color w:val="auto"/>
          <w:spacing w:val="-33"/>
          <w:kern w:val="0"/>
          <w:szCs w:val="28"/>
          <w:highlight w:val="none"/>
        </w:rPr>
        <w:t>：</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，服务期限</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w:t>
      </w:r>
    </w:p>
    <w:p w14:paraId="72D03F44">
      <w:pPr>
        <w:autoSpaceDE w:val="0"/>
        <w:autoSpaceDN w:val="0"/>
        <w:spacing w:line="400" w:lineRule="exact"/>
        <w:ind w:firstLine="560"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kern w:val="0"/>
          <w:szCs w:val="28"/>
          <w:highlight w:val="none"/>
        </w:rPr>
        <w:t>5.如</w:t>
      </w:r>
      <w:r>
        <w:rPr>
          <w:rFonts w:hint="eastAsia" w:ascii="仿宋" w:hAnsi="仿宋" w:eastAsia="仿宋" w:cs="仿宋"/>
          <w:color w:val="auto"/>
          <w:spacing w:val="2"/>
          <w:kern w:val="0"/>
          <w:szCs w:val="28"/>
          <w:highlight w:val="none"/>
        </w:rPr>
        <w:t>我方中标，我方</w:t>
      </w:r>
      <w:r>
        <w:rPr>
          <w:rFonts w:hint="eastAsia" w:ascii="仿宋" w:hAnsi="仿宋" w:eastAsia="仿宋" w:cs="仿宋"/>
          <w:color w:val="auto"/>
          <w:spacing w:val="5"/>
          <w:kern w:val="0"/>
          <w:szCs w:val="28"/>
          <w:highlight w:val="none"/>
        </w:rPr>
        <w:t>承</w:t>
      </w:r>
      <w:r>
        <w:rPr>
          <w:rFonts w:hint="eastAsia" w:ascii="仿宋" w:hAnsi="仿宋" w:eastAsia="仿宋" w:cs="仿宋"/>
          <w:color w:val="auto"/>
          <w:spacing w:val="2"/>
          <w:kern w:val="0"/>
          <w:szCs w:val="28"/>
          <w:highlight w:val="none"/>
        </w:rPr>
        <w:t>诺：</w:t>
      </w:r>
    </w:p>
    <w:p w14:paraId="4C72DE43">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（1）在收到中标通知书后，在中标通知书规定的期限内与你方签订合同；</w:t>
      </w:r>
    </w:p>
    <w:p w14:paraId="23EEA932">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（2）在签订合同时不向你方提出附加条件；</w:t>
      </w:r>
    </w:p>
    <w:p w14:paraId="0A179D85">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（3）按照比选文件要求提交履约保证金；</w:t>
      </w:r>
    </w:p>
    <w:p w14:paraId="20C82A39">
      <w:pPr>
        <w:autoSpaceDE w:val="0"/>
        <w:autoSpaceDN w:val="0"/>
        <w:spacing w:line="400" w:lineRule="exact"/>
        <w:ind w:firstLine="568" w:firstLineChars="200"/>
        <w:jc w:val="left"/>
        <w:rPr>
          <w:rFonts w:hint="eastAsia" w:ascii="仿宋" w:hAnsi="仿宋" w:eastAsia="仿宋" w:cs="仿宋"/>
          <w:color w:val="auto"/>
          <w:spacing w:val="2"/>
          <w:kern w:val="0"/>
          <w:szCs w:val="28"/>
          <w:highlight w:val="none"/>
        </w:rPr>
      </w:pPr>
      <w:r>
        <w:rPr>
          <w:rFonts w:hint="eastAsia" w:ascii="仿宋" w:hAnsi="仿宋" w:eastAsia="仿宋" w:cs="仿宋"/>
          <w:color w:val="auto"/>
          <w:spacing w:val="2"/>
          <w:kern w:val="0"/>
          <w:szCs w:val="28"/>
          <w:highlight w:val="none"/>
        </w:rPr>
        <w:t>（4）在合同约定的期限内完成合同规定的全部义务；</w:t>
      </w:r>
    </w:p>
    <w:p w14:paraId="1C8FCFA2">
      <w:pPr>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6.我方在此声明，所递交的比选申请文件及有关资料内容完整、真实和准确</w:t>
      </w:r>
      <w:r>
        <w:rPr>
          <w:rFonts w:hint="eastAsia" w:ascii="仿宋" w:hAnsi="仿宋" w:eastAsia="仿宋" w:cs="仿宋"/>
          <w:color w:val="auto"/>
          <w:spacing w:val="2"/>
          <w:kern w:val="0"/>
          <w:szCs w:val="28"/>
          <w:highlight w:val="none"/>
        </w:rPr>
        <w:t>。</w:t>
      </w:r>
    </w:p>
    <w:p w14:paraId="1E8B7EF2">
      <w:pPr>
        <w:tabs>
          <w:tab w:val="left" w:pos="352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7.在合同协议书正式签署生效之前，本比选函连同你方的中标通知书将构成我们双方之间共同遵守的文件，对双方具有约束力。</w:t>
      </w:r>
    </w:p>
    <w:p w14:paraId="377C3BB9">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8.</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（其他补充说明）。</w:t>
      </w:r>
    </w:p>
    <w:p w14:paraId="5F1B89C8">
      <w:pPr>
        <w:tabs>
          <w:tab w:val="left" w:pos="6100"/>
        </w:tabs>
        <w:autoSpaceDE w:val="0"/>
        <w:autoSpaceDN w:val="0"/>
        <w:spacing w:line="400" w:lineRule="exact"/>
        <w:ind w:firstLine="560" w:firstLineChars="200"/>
        <w:jc w:val="left"/>
        <w:rPr>
          <w:rFonts w:hint="eastAsia" w:ascii="仿宋" w:hAnsi="仿宋" w:eastAsia="仿宋" w:cs="仿宋"/>
          <w:color w:val="auto"/>
          <w:kern w:val="0"/>
          <w:szCs w:val="28"/>
          <w:highlight w:val="none"/>
        </w:rPr>
      </w:pPr>
    </w:p>
    <w:p w14:paraId="6D0DF463">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比选申请人：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 xml:space="preserve">(盖单位章) </w:t>
      </w:r>
    </w:p>
    <w:p w14:paraId="0526726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法定代表人或</w:t>
      </w:r>
    </w:p>
    <w:p w14:paraId="6C5424C4">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其委托代理人：</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spacing w:val="-1"/>
          <w:kern w:val="0"/>
          <w:szCs w:val="28"/>
          <w:highlight w:val="none"/>
        </w:rPr>
        <w:t>(</w:t>
      </w:r>
      <w:r>
        <w:rPr>
          <w:rFonts w:hint="eastAsia" w:ascii="仿宋" w:hAnsi="仿宋" w:eastAsia="仿宋" w:cs="仿宋"/>
          <w:color w:val="auto"/>
          <w:kern w:val="0"/>
          <w:szCs w:val="28"/>
          <w:highlight w:val="none"/>
        </w:rPr>
        <w:t xml:space="preserve">签    字) </w:t>
      </w:r>
    </w:p>
    <w:p w14:paraId="2C292082">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地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19D795DF">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网    址：</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54BA4928">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电    话：</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7B2FE599">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传    真：</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rPr>
        <w:t xml:space="preserve"> </w:t>
      </w:r>
    </w:p>
    <w:p w14:paraId="3CAABA77">
      <w:pPr>
        <w:tabs>
          <w:tab w:val="left" w:pos="7480"/>
          <w:tab w:val="left" w:pos="8080"/>
          <w:tab w:val="left" w:pos="8780"/>
        </w:tabs>
        <w:autoSpaceDE w:val="0"/>
        <w:autoSpaceDN w:val="0"/>
        <w:adjustRightInd w:val="0"/>
        <w:spacing w:line="400" w:lineRule="exact"/>
        <w:ind w:left="3080" w:leftChars="1100" w:right="166"/>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邮政编码：</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r>
        <w:rPr>
          <w:rFonts w:hint="eastAsia" w:ascii="仿宋" w:hAnsi="仿宋" w:eastAsia="仿宋" w:cs="仿宋"/>
          <w:color w:val="auto"/>
          <w:kern w:val="0"/>
          <w:szCs w:val="28"/>
          <w:highlight w:val="none"/>
          <w:u w:val="single"/>
        </w:rPr>
        <w:tab/>
      </w:r>
    </w:p>
    <w:p w14:paraId="448368C4">
      <w:pPr>
        <w:tabs>
          <w:tab w:val="left" w:pos="6040"/>
          <w:tab w:val="left" w:pos="7120"/>
          <w:tab w:val="left" w:pos="8200"/>
        </w:tabs>
        <w:autoSpaceDE w:val="0"/>
        <w:autoSpaceDN w:val="0"/>
        <w:adjustRightInd w:val="0"/>
        <w:spacing w:before="32" w:line="400" w:lineRule="exact"/>
        <w:ind w:left="3080" w:leftChars="1100" w:right="-20" w:firstLine="2520" w:firstLineChars="900"/>
        <w:jc w:val="lef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年</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月</w:t>
      </w:r>
      <w:r>
        <w:rPr>
          <w:rFonts w:hint="eastAsia" w:ascii="仿宋" w:hAnsi="仿宋" w:eastAsia="仿宋" w:cs="仿宋"/>
          <w:color w:val="auto"/>
          <w:kern w:val="0"/>
          <w:szCs w:val="28"/>
          <w:highlight w:val="none"/>
          <w:u w:val="single"/>
        </w:rPr>
        <w:t xml:space="preserve"> </w:t>
      </w:r>
      <w:r>
        <w:rPr>
          <w:rFonts w:hint="eastAsia" w:ascii="仿宋" w:hAnsi="仿宋" w:eastAsia="仿宋" w:cs="仿宋"/>
          <w:color w:val="auto"/>
          <w:kern w:val="0"/>
          <w:szCs w:val="28"/>
          <w:highlight w:val="none"/>
        </w:rPr>
        <w:t>日</w:t>
      </w:r>
    </w:p>
    <w:p w14:paraId="46E28101">
      <w:pPr>
        <w:spacing w:before="113" w:line="226" w:lineRule="auto"/>
        <w:ind w:left="3402"/>
        <w:rPr>
          <w:rFonts w:ascii="Times New Roman" w:hAnsi="Times New Roman"/>
          <w:b/>
          <w:bCs/>
          <w:color w:val="auto"/>
          <w:spacing w:val="4"/>
          <w:sz w:val="35"/>
          <w:szCs w:val="35"/>
          <w:highlight w:val="none"/>
        </w:rPr>
      </w:pPr>
    </w:p>
    <w:bookmarkEnd w:id="52"/>
    <w:bookmarkEnd w:id="58"/>
    <w:bookmarkEnd w:id="59"/>
    <w:bookmarkEnd w:id="60"/>
    <w:p w14:paraId="54CEB85B">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二、法定代表人身份证明</w:t>
      </w:r>
    </w:p>
    <w:p w14:paraId="78F2E2D3">
      <w:pPr>
        <w:spacing w:line="500" w:lineRule="exact"/>
        <w:ind w:firstLine="616" w:firstLineChars="220"/>
        <w:rPr>
          <w:rFonts w:hint="eastAsia" w:cs="宋体"/>
          <w:color w:val="auto"/>
          <w:szCs w:val="28"/>
          <w:highlight w:val="none"/>
        </w:rPr>
      </w:pPr>
    </w:p>
    <w:p w14:paraId="42D8D8DF">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单位名称:</w:t>
      </w:r>
    </w:p>
    <w:p w14:paraId="4524378B">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单位性质:</w:t>
      </w:r>
    </w:p>
    <w:p w14:paraId="4430706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地    址:</w:t>
      </w:r>
    </w:p>
    <w:p w14:paraId="4C7EE43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成立时间:           年        月       日</w:t>
      </w:r>
    </w:p>
    <w:p w14:paraId="0595F8D3">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经营期限:</w:t>
      </w:r>
    </w:p>
    <w:p w14:paraId="3805B386">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姓 名:           性 别:        年 龄:           职 务:</w:t>
      </w:r>
    </w:p>
    <w:p w14:paraId="55BB27A5">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系 </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 xml:space="preserve"> 的法定代表人。</w:t>
      </w:r>
    </w:p>
    <w:p w14:paraId="478A6861">
      <w:pPr>
        <w:spacing w:line="480" w:lineRule="auto"/>
        <w:ind w:left="538" w:leftChars="192"/>
        <w:rPr>
          <w:rFonts w:hint="eastAsia" w:ascii="仿宋" w:hAnsi="仿宋" w:eastAsia="仿宋" w:cs="仿宋"/>
          <w:color w:val="auto"/>
          <w:szCs w:val="28"/>
          <w:highlight w:val="none"/>
        </w:rPr>
      </w:pPr>
    </w:p>
    <w:p w14:paraId="3D40053E">
      <w:pPr>
        <w:spacing w:line="500" w:lineRule="exact"/>
        <w:ind w:firstLine="616" w:firstLineChars="220"/>
        <w:rPr>
          <w:rFonts w:hint="eastAsia" w:ascii="仿宋" w:hAnsi="仿宋" w:eastAsia="仿宋" w:cs="仿宋"/>
          <w:color w:val="auto"/>
          <w:szCs w:val="28"/>
          <w:highlight w:val="none"/>
        </w:rPr>
      </w:pPr>
    </w:p>
    <w:p w14:paraId="0D478979">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特此证明。</w:t>
      </w:r>
    </w:p>
    <w:p w14:paraId="15F51734">
      <w:pPr>
        <w:spacing w:line="500" w:lineRule="exact"/>
        <w:ind w:firstLine="616" w:firstLineChars="220"/>
        <w:rPr>
          <w:rFonts w:hint="eastAsia" w:ascii="仿宋" w:hAnsi="仿宋" w:eastAsia="仿宋" w:cs="仿宋"/>
          <w:color w:val="auto"/>
          <w:szCs w:val="28"/>
          <w:highlight w:val="none"/>
        </w:rPr>
      </w:pPr>
    </w:p>
    <w:p w14:paraId="5C359E5F">
      <w:pPr>
        <w:spacing w:line="500" w:lineRule="exact"/>
        <w:ind w:firstLine="616" w:firstLineChars="220"/>
        <w:rPr>
          <w:rFonts w:hint="eastAsia" w:ascii="仿宋" w:hAnsi="仿宋" w:eastAsia="仿宋" w:cs="仿宋"/>
          <w:color w:val="auto"/>
          <w:szCs w:val="28"/>
          <w:highlight w:val="none"/>
        </w:rPr>
      </w:pPr>
    </w:p>
    <w:p w14:paraId="216D23F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比选申请人:     （盖单位章）</w:t>
      </w:r>
    </w:p>
    <w:p w14:paraId="138FDC51">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日 期:      年    月    日</w:t>
      </w:r>
    </w:p>
    <w:p w14:paraId="0592D3CF">
      <w:pPr>
        <w:spacing w:line="480" w:lineRule="auto"/>
        <w:ind w:left="538" w:leftChars="192" w:firstLine="610"/>
        <w:jc w:val="right"/>
        <w:rPr>
          <w:rFonts w:hint="eastAsia" w:ascii="仿宋" w:hAnsi="仿宋" w:eastAsia="仿宋" w:cs="仿宋"/>
          <w:color w:val="auto"/>
          <w:szCs w:val="28"/>
          <w:highlight w:val="none"/>
        </w:rPr>
      </w:pPr>
    </w:p>
    <w:p w14:paraId="59493C5B">
      <w:pPr>
        <w:spacing w:line="480" w:lineRule="auto"/>
        <w:ind w:left="538" w:leftChars="192" w:firstLine="482"/>
        <w:rPr>
          <w:rFonts w:hint="eastAsia" w:ascii="仿宋" w:hAnsi="仿宋" w:eastAsia="仿宋" w:cs="仿宋"/>
          <w:color w:val="auto"/>
          <w:szCs w:val="28"/>
          <w:highlight w:val="none"/>
        </w:rPr>
      </w:pPr>
    </w:p>
    <w:p w14:paraId="4F4AC7DF">
      <w:pPr>
        <w:pStyle w:val="2"/>
        <w:rPr>
          <w:rFonts w:hint="eastAsia" w:ascii="仿宋" w:hAnsi="仿宋" w:eastAsia="仿宋" w:cs="仿宋"/>
          <w:color w:val="auto"/>
          <w:highlight w:val="none"/>
        </w:rPr>
      </w:pPr>
    </w:p>
    <w:p w14:paraId="79604961">
      <w:pPr>
        <w:spacing w:line="480" w:lineRule="auto"/>
        <w:ind w:left="538" w:leftChars="192" w:firstLine="482"/>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附：法定代表人身份证复印件。</w:t>
      </w:r>
    </w:p>
    <w:p w14:paraId="1726F70B">
      <w:pPr>
        <w:spacing w:line="480" w:lineRule="auto"/>
        <w:rPr>
          <w:rFonts w:hint="eastAsia" w:cs="Arial"/>
          <w:color w:val="auto"/>
          <w:highlight w:val="none"/>
        </w:rPr>
      </w:pPr>
    </w:p>
    <w:p w14:paraId="42BC993C">
      <w:pPr>
        <w:rPr>
          <w:rFonts w:hint="eastAsia"/>
          <w:color w:val="auto"/>
          <w:highlight w:val="none"/>
        </w:rPr>
      </w:pPr>
      <w:bookmarkStart w:id="61" w:name="_Toc319145228"/>
    </w:p>
    <w:p w14:paraId="6F7814AE">
      <w:pPr>
        <w:rPr>
          <w:rFonts w:hint="eastAsia"/>
          <w:color w:val="auto"/>
          <w:highlight w:val="none"/>
        </w:rPr>
      </w:pPr>
    </w:p>
    <w:p w14:paraId="41FD60C3">
      <w:pPr>
        <w:spacing w:line="500" w:lineRule="exact"/>
        <w:ind w:firstLine="616" w:firstLineChars="220"/>
        <w:rPr>
          <w:rFonts w:hint="eastAsia" w:cs="宋体"/>
          <w:b/>
          <w:bCs/>
          <w:color w:val="auto"/>
          <w:szCs w:val="28"/>
          <w:highlight w:val="none"/>
        </w:rPr>
      </w:pPr>
    </w:p>
    <w:p w14:paraId="16A10DBC">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三、授权委托书</w:t>
      </w:r>
      <w:bookmarkEnd w:id="61"/>
    </w:p>
    <w:p w14:paraId="426F38D4">
      <w:pPr>
        <w:spacing w:line="500" w:lineRule="exact"/>
        <w:ind w:firstLine="616" w:firstLineChars="220"/>
        <w:rPr>
          <w:rFonts w:hint="eastAsia" w:cs="宋体"/>
          <w:b/>
          <w:bCs/>
          <w:color w:val="auto"/>
          <w:szCs w:val="28"/>
          <w:highlight w:val="none"/>
        </w:rPr>
      </w:pPr>
    </w:p>
    <w:p w14:paraId="59993A7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本人</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（姓名）系</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（比选申请人）的法定代表人，现委托</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（姓名）为我方代理人。代理人根据授权，以我方名义签署、澄清、说明、补正、递交、撤回、修改</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（项目名称）的比选申请文件和处理有关事宜，其法律后果由我方承担。</w:t>
      </w:r>
    </w:p>
    <w:p w14:paraId="038163CE">
      <w:pPr>
        <w:spacing w:line="500" w:lineRule="exact"/>
        <w:ind w:firstLine="616" w:firstLineChars="220"/>
        <w:rPr>
          <w:rFonts w:ascii="仿宋" w:hAnsi="仿宋" w:eastAsia="仿宋" w:cs="仿宋"/>
          <w:color w:val="auto"/>
          <w:szCs w:val="28"/>
          <w:highlight w:val="none"/>
          <w:u w:val="single"/>
        </w:rPr>
      </w:pPr>
      <w:r>
        <w:rPr>
          <w:rFonts w:hint="eastAsia" w:ascii="仿宋" w:hAnsi="仿宋" w:eastAsia="仿宋" w:cs="仿宋"/>
          <w:color w:val="auto"/>
          <w:szCs w:val="28"/>
          <w:highlight w:val="none"/>
        </w:rPr>
        <w:t>委托期限：</w:t>
      </w:r>
      <w:r>
        <w:rPr>
          <w:rFonts w:hint="eastAsia" w:ascii="仿宋" w:hAnsi="仿宋" w:eastAsia="仿宋" w:cs="仿宋"/>
          <w:color w:val="auto"/>
          <w:szCs w:val="28"/>
          <w:highlight w:val="none"/>
          <w:u w:val="single"/>
        </w:rPr>
        <w:t xml:space="preserve">   </w:t>
      </w:r>
    </w:p>
    <w:p w14:paraId="52DABB10">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代理人无转委托权。</w:t>
      </w:r>
    </w:p>
    <w:p w14:paraId="4AACA69C">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特此委托。</w:t>
      </w:r>
    </w:p>
    <w:p w14:paraId="30C701ED">
      <w:pPr>
        <w:spacing w:line="500" w:lineRule="exact"/>
        <w:ind w:firstLine="616" w:firstLineChars="22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附：（1）法定人表人身份证明和法定代表人身份证复印件</w:t>
      </w:r>
    </w:p>
    <w:p w14:paraId="3484CA6F">
      <w:pPr>
        <w:spacing w:line="500" w:lineRule="exact"/>
        <w:ind w:firstLine="1173" w:firstLineChars="419"/>
        <w:rPr>
          <w:rFonts w:hint="eastAsia" w:ascii="仿宋" w:hAnsi="仿宋" w:eastAsia="仿宋" w:cs="仿宋"/>
          <w:color w:val="auto"/>
          <w:szCs w:val="28"/>
          <w:highlight w:val="none"/>
        </w:rPr>
      </w:pPr>
      <w:r>
        <w:rPr>
          <w:rFonts w:hint="eastAsia" w:ascii="仿宋" w:hAnsi="仿宋" w:eastAsia="仿宋" w:cs="仿宋"/>
          <w:color w:val="auto"/>
          <w:szCs w:val="28"/>
          <w:highlight w:val="none"/>
        </w:rPr>
        <w:t>（2）委托代理人身份证复印件</w:t>
      </w:r>
    </w:p>
    <w:p w14:paraId="765917CA">
      <w:pPr>
        <w:spacing w:line="500" w:lineRule="exact"/>
        <w:ind w:firstLine="616" w:firstLineChars="220"/>
        <w:jc w:val="right"/>
        <w:rPr>
          <w:rFonts w:hint="eastAsia" w:ascii="仿宋" w:hAnsi="仿宋" w:eastAsia="仿宋" w:cs="仿宋"/>
          <w:color w:val="auto"/>
          <w:szCs w:val="28"/>
          <w:highlight w:val="none"/>
        </w:rPr>
      </w:pPr>
    </w:p>
    <w:p w14:paraId="521A32FB">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            （盖单位章）</w:t>
      </w:r>
    </w:p>
    <w:p w14:paraId="378E63B8">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法定代表人：          （签字或盖章）</w:t>
      </w:r>
    </w:p>
    <w:p w14:paraId="4F04C4D6">
      <w:pPr>
        <w:spacing w:line="500" w:lineRule="exact"/>
        <w:ind w:firstLine="616" w:firstLineChars="220"/>
        <w:jc w:val="center"/>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委托代理人：             （签字）</w:t>
      </w:r>
    </w:p>
    <w:p w14:paraId="00DDBA3F">
      <w:pPr>
        <w:spacing w:line="480" w:lineRule="auto"/>
        <w:ind w:left="538" w:leftChars="192"/>
        <w:rPr>
          <w:rFonts w:hint="eastAsia" w:ascii="仿宋" w:hAnsi="仿宋" w:eastAsia="仿宋" w:cs="仿宋"/>
          <w:color w:val="auto"/>
          <w:szCs w:val="28"/>
          <w:highlight w:val="none"/>
        </w:rPr>
      </w:pPr>
    </w:p>
    <w:p w14:paraId="17B5D8B1">
      <w:pPr>
        <w:spacing w:line="500" w:lineRule="exact"/>
        <w:ind w:firstLine="616" w:firstLineChars="220"/>
        <w:jc w:val="right"/>
        <w:rPr>
          <w:rFonts w:hint="eastAsia" w:ascii="仿宋" w:hAnsi="仿宋" w:eastAsia="仿宋" w:cs="仿宋"/>
          <w:color w:val="auto"/>
          <w:szCs w:val="28"/>
          <w:highlight w:val="none"/>
        </w:rPr>
      </w:pPr>
      <w:r>
        <w:rPr>
          <w:rFonts w:hint="eastAsia" w:ascii="仿宋" w:hAnsi="仿宋" w:eastAsia="仿宋" w:cs="仿宋"/>
          <w:color w:val="auto"/>
          <w:szCs w:val="28"/>
          <w:highlight w:val="none"/>
        </w:rPr>
        <w:t>年      月      日</w:t>
      </w:r>
    </w:p>
    <w:p w14:paraId="75E643A3">
      <w:pPr>
        <w:spacing w:line="480" w:lineRule="auto"/>
        <w:ind w:left="538" w:leftChars="19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注：本授权委托书为法定代表人不亲自比选而委托代理人比选适用。后附代理人身份证复印件。</w:t>
      </w:r>
      <w:bookmarkStart w:id="62" w:name="_Toc319145230"/>
      <w:bookmarkStart w:id="63" w:name="_Toc170621224"/>
      <w:bookmarkStart w:id="64" w:name="_Toc157235922"/>
      <w:bookmarkStart w:id="65" w:name="_Toc170621356"/>
    </w:p>
    <w:p w14:paraId="745D26D8">
      <w:pPr>
        <w:pStyle w:val="2"/>
        <w:rPr>
          <w:rFonts w:eastAsia="宋体" w:cs="Arial"/>
          <w:b/>
          <w:color w:val="auto"/>
          <w:sz w:val="24"/>
          <w:highlight w:val="none"/>
        </w:rPr>
      </w:pPr>
    </w:p>
    <w:p w14:paraId="02573059">
      <w:pPr>
        <w:rPr>
          <w:rFonts w:cs="Arial"/>
          <w:b/>
          <w:color w:val="auto"/>
          <w:sz w:val="24"/>
          <w:highlight w:val="none"/>
        </w:rPr>
      </w:pPr>
    </w:p>
    <w:p w14:paraId="67B2091C">
      <w:pPr>
        <w:pStyle w:val="2"/>
        <w:rPr>
          <w:rFonts w:eastAsia="宋体" w:cs="Arial"/>
          <w:b/>
          <w:color w:val="auto"/>
          <w:sz w:val="24"/>
          <w:highlight w:val="none"/>
        </w:rPr>
      </w:pPr>
    </w:p>
    <w:p w14:paraId="2375F9C0">
      <w:pPr>
        <w:rPr>
          <w:rFonts w:cs="Arial"/>
          <w:b/>
          <w:color w:val="auto"/>
          <w:sz w:val="24"/>
          <w:highlight w:val="none"/>
        </w:rPr>
      </w:pPr>
    </w:p>
    <w:p w14:paraId="2905E51F">
      <w:pPr>
        <w:pStyle w:val="2"/>
        <w:rPr>
          <w:rFonts w:eastAsia="宋体"/>
          <w:color w:val="auto"/>
          <w:highlight w:val="none"/>
        </w:rPr>
      </w:pPr>
    </w:p>
    <w:p w14:paraId="48EBCC5E">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rPr>
        <w:t>四、资格审查资料</w:t>
      </w:r>
    </w:p>
    <w:p w14:paraId="221E4850">
      <w:pPr>
        <w:spacing w:line="480" w:lineRule="auto"/>
        <w:jc w:val="center"/>
        <w:rPr>
          <w:rFonts w:hint="eastAsia" w:cs="Arial"/>
          <w:color w:val="auto"/>
          <w:kern w:val="44"/>
          <w:sz w:val="36"/>
          <w:szCs w:val="36"/>
          <w:highlight w:val="none"/>
        </w:rPr>
      </w:pPr>
      <w:r>
        <w:rPr>
          <w:rFonts w:hint="eastAsia"/>
          <w:b/>
          <w:color w:val="auto"/>
          <w:kern w:val="0"/>
          <w:position w:val="-1"/>
          <w:sz w:val="32"/>
          <w:szCs w:val="32"/>
          <w:highlight w:val="none"/>
        </w:rPr>
        <w:t>（一)比选申请人基本情况一览表</w:t>
      </w:r>
      <w:bookmarkEnd w:id="62"/>
      <w:bookmarkEnd w:id="63"/>
      <w:bookmarkEnd w:id="64"/>
      <w:bookmarkEnd w:id="6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0"/>
        <w:gridCol w:w="4065"/>
        <w:gridCol w:w="4654"/>
      </w:tblGrid>
      <w:tr w14:paraId="44E4F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600" w:type="dxa"/>
            <w:tcBorders>
              <w:top w:val="single" w:color="auto" w:sz="4" w:space="0"/>
              <w:left w:val="single" w:color="auto" w:sz="4" w:space="0"/>
              <w:bottom w:val="single" w:color="auto" w:sz="6" w:space="0"/>
              <w:right w:val="single" w:color="auto" w:sz="6" w:space="0"/>
            </w:tcBorders>
            <w:noWrap w:val="0"/>
            <w:vAlign w:val="center"/>
          </w:tcPr>
          <w:p w14:paraId="1E5749B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719" w:type="dxa"/>
            <w:gridSpan w:val="2"/>
            <w:tcBorders>
              <w:top w:val="single" w:color="auto" w:sz="4" w:space="0"/>
              <w:left w:val="single" w:color="auto" w:sz="6" w:space="0"/>
              <w:bottom w:val="single" w:color="auto" w:sz="6" w:space="0"/>
              <w:right w:val="single" w:color="auto" w:sz="4" w:space="0"/>
            </w:tcBorders>
            <w:noWrap w:val="0"/>
            <w:vAlign w:val="center"/>
          </w:tcPr>
          <w:p w14:paraId="1FA827D9">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比选申请</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名称：</w:t>
            </w:r>
          </w:p>
        </w:tc>
      </w:tr>
      <w:tr w14:paraId="381C0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6BD182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BDF6EE2">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r>
      <w:tr w14:paraId="13C5D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B72201D">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1E2AC9C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注册年份：年月日</w:t>
            </w:r>
          </w:p>
        </w:tc>
      </w:tr>
      <w:tr w14:paraId="61FB33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E70BB3C">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1E0C39F0">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4037EBA1">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r>
      <w:tr w14:paraId="7F3A8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3FDD1030">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4065" w:type="dxa"/>
            <w:tcBorders>
              <w:top w:val="single" w:color="auto" w:sz="6" w:space="0"/>
              <w:left w:val="single" w:color="auto" w:sz="6" w:space="0"/>
              <w:bottom w:val="single" w:color="auto" w:sz="6" w:space="0"/>
              <w:right w:val="single" w:color="auto" w:sz="6" w:space="0"/>
            </w:tcBorders>
            <w:noWrap w:val="0"/>
            <w:vAlign w:val="center"/>
          </w:tcPr>
          <w:p w14:paraId="69A2B126">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4654" w:type="dxa"/>
            <w:tcBorders>
              <w:top w:val="single" w:color="auto" w:sz="6" w:space="0"/>
              <w:left w:val="single" w:color="auto" w:sz="6" w:space="0"/>
              <w:bottom w:val="single" w:color="auto" w:sz="6" w:space="0"/>
              <w:right w:val="single" w:color="auto" w:sz="4" w:space="0"/>
            </w:tcBorders>
            <w:noWrap w:val="0"/>
            <w:vAlign w:val="center"/>
          </w:tcPr>
          <w:p w14:paraId="123BB67B">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r>
      <w:tr w14:paraId="1CA38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4"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5C9467E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4C8D49E5">
            <w:pPr>
              <w:keepNext w:val="0"/>
              <w:keepLines w:val="0"/>
              <w:suppressLineNumbers w:val="0"/>
              <w:snapToGrid w:val="0"/>
              <w:spacing w:before="0" w:beforeAutospacing="0" w:after="0" w:afterAutospacing="0" w:line="360" w:lineRule="auto"/>
              <w:ind w:left="0" w:right="0"/>
              <w:textAlignment w:val="baseline"/>
              <w:rPr>
                <w:rFonts w:hint="eastAsia" w:ascii="仿宋" w:hAnsi="仿宋" w:eastAsia="等线" w:cs="仿宋"/>
                <w:color w:val="auto"/>
                <w:sz w:val="28"/>
                <w:szCs w:val="28"/>
                <w:highlight w:val="none"/>
                <w:lang w:eastAsia="zh-CN"/>
              </w:rPr>
            </w:pPr>
            <w:r>
              <w:rPr>
                <w:rFonts w:hint="eastAsia" w:ascii="仿宋" w:hAnsi="仿宋" w:eastAsia="仿宋" w:cs="仿宋"/>
                <w:color w:val="auto"/>
                <w:sz w:val="28"/>
                <w:szCs w:val="28"/>
                <w:highlight w:val="none"/>
              </w:rPr>
              <w:t>营业执照</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统一社会信用代码的事业单位法人证书</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相关主管部门颁发的准许执业证明文件或其他证明材料</w:t>
            </w:r>
            <w:r>
              <w:rPr>
                <w:rFonts w:hint="eastAsia" w:ascii="仿宋" w:hAnsi="仿宋" w:eastAsia="仿宋" w:cs="仿宋"/>
                <w:color w:val="auto"/>
                <w:sz w:val="28"/>
                <w:szCs w:val="28"/>
                <w:highlight w:val="none"/>
                <w:lang w:val="en-US" w:eastAsia="zh-CN"/>
              </w:rPr>
              <w:t>证号：</w:t>
            </w:r>
          </w:p>
        </w:tc>
      </w:tr>
      <w:tr w14:paraId="784B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1F35FCA4">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2E7CB99B">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p>
          <w:p w14:paraId="0953983B">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p>
          <w:p w14:paraId="54C90FB3">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员工总人数(单位：人)</w:t>
            </w:r>
          </w:p>
          <w:p w14:paraId="7043352F">
            <w:pPr>
              <w:keepNext w:val="0"/>
              <w:keepLines w:val="0"/>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z w:val="28"/>
                <w:szCs w:val="28"/>
                <w:highlight w:val="none"/>
              </w:rPr>
            </w:pPr>
          </w:p>
          <w:p w14:paraId="55A91759">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p>
        </w:tc>
      </w:tr>
      <w:tr w14:paraId="3B5B2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600" w:type="dxa"/>
            <w:tcBorders>
              <w:top w:val="single" w:color="auto" w:sz="6" w:space="0"/>
              <w:left w:val="single" w:color="auto" w:sz="4" w:space="0"/>
              <w:bottom w:val="single" w:color="auto" w:sz="6" w:space="0"/>
              <w:right w:val="single" w:color="auto" w:sz="6" w:space="0"/>
            </w:tcBorders>
            <w:noWrap w:val="0"/>
            <w:vAlign w:val="center"/>
          </w:tcPr>
          <w:p w14:paraId="7E9834D5">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8719" w:type="dxa"/>
            <w:gridSpan w:val="2"/>
            <w:tcBorders>
              <w:top w:val="single" w:color="auto" w:sz="6" w:space="0"/>
              <w:left w:val="single" w:color="auto" w:sz="6" w:space="0"/>
              <w:bottom w:val="single" w:color="auto" w:sz="6" w:space="0"/>
              <w:right w:val="single" w:color="auto" w:sz="4" w:space="0"/>
            </w:tcBorders>
            <w:noWrap w:val="0"/>
            <w:vAlign w:val="center"/>
          </w:tcPr>
          <w:p w14:paraId="21323DFC">
            <w:pPr>
              <w:keepNext w:val="0"/>
              <w:keepLines w:val="0"/>
              <w:widowControl/>
              <w:suppressLineNumbers w:val="0"/>
              <w:snapToGrid w:val="0"/>
              <w:spacing w:before="0" w:beforeAutospacing="0" w:after="0" w:afterAutospacing="0" w:line="360" w:lineRule="auto"/>
              <w:ind w:left="0" w:right="0"/>
              <w:jc w:val="left"/>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主营范围：</w:t>
            </w:r>
          </w:p>
          <w:p w14:paraId="2981BBE5">
            <w:pPr>
              <w:pStyle w:val="56"/>
              <w:keepNext w:val="0"/>
              <w:keepLines w:val="0"/>
              <w:widowControl/>
              <w:suppressLineNumbers w:val="0"/>
              <w:snapToGrid w:val="0"/>
              <w:spacing w:before="0" w:beforeAutospacing="0" w:after="0" w:afterAutospacing="0" w:line="360" w:lineRule="auto"/>
              <w:ind w:left="360" w:right="0" w:firstLine="0" w:firstLineChars="0"/>
              <w:jc w:val="left"/>
              <w:textAlignment w:val="baseline"/>
              <w:rPr>
                <w:rFonts w:hint="eastAsia" w:ascii="仿宋" w:hAnsi="仿宋" w:eastAsia="仿宋" w:cs="仿宋"/>
                <w:color w:val="auto"/>
                <w:sz w:val="28"/>
                <w:szCs w:val="28"/>
                <w:highlight w:val="none"/>
                <w:u w:val="single"/>
              </w:rPr>
            </w:pPr>
          </w:p>
        </w:tc>
      </w:tr>
      <w:tr w14:paraId="0CA38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600" w:type="dxa"/>
            <w:tcBorders>
              <w:top w:val="single" w:color="auto" w:sz="6" w:space="0"/>
              <w:left w:val="single" w:color="auto" w:sz="4" w:space="0"/>
              <w:bottom w:val="single" w:color="auto" w:sz="4" w:space="0"/>
              <w:right w:val="single" w:color="auto" w:sz="6" w:space="0"/>
            </w:tcBorders>
            <w:noWrap w:val="0"/>
            <w:vAlign w:val="center"/>
          </w:tcPr>
          <w:p w14:paraId="3BA3A021">
            <w:pPr>
              <w:keepNext w:val="0"/>
              <w:keepLines w:val="0"/>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8719" w:type="dxa"/>
            <w:gridSpan w:val="2"/>
            <w:tcBorders>
              <w:top w:val="single" w:color="auto" w:sz="6" w:space="0"/>
              <w:left w:val="single" w:color="auto" w:sz="6" w:space="0"/>
              <w:bottom w:val="single" w:color="auto" w:sz="4" w:space="0"/>
              <w:right w:val="single" w:color="auto" w:sz="4" w:space="0"/>
            </w:tcBorders>
            <w:noWrap w:val="0"/>
            <w:vAlign w:val="center"/>
          </w:tcPr>
          <w:p w14:paraId="5E16000E">
            <w:pPr>
              <w:keepNext w:val="0"/>
              <w:keepLines w:val="0"/>
              <w:widowControl/>
              <w:suppressLineNumbers w:val="0"/>
              <w:snapToGrid w:val="0"/>
              <w:spacing w:before="0" w:beforeAutospacing="0" w:after="0" w:afterAutospacing="0" w:line="360" w:lineRule="auto"/>
              <w:ind w:left="0" w:right="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其他需要说明的情况（如有）：</w:t>
            </w:r>
          </w:p>
        </w:tc>
      </w:tr>
    </w:tbl>
    <w:p w14:paraId="7CBE9EA1">
      <w:pPr>
        <w:spacing w:line="480" w:lineRule="auto"/>
        <w:jc w:val="center"/>
        <w:rPr>
          <w:rFonts w:hint="eastAsia" w:cs="Arial"/>
          <w:color w:val="auto"/>
          <w:kern w:val="44"/>
          <w:sz w:val="36"/>
          <w:szCs w:val="36"/>
          <w:highlight w:val="none"/>
        </w:rPr>
      </w:pPr>
      <w:r>
        <w:rPr>
          <w:rFonts w:cs="Arial"/>
          <w:color w:val="auto"/>
          <w:szCs w:val="28"/>
          <w:highlight w:val="none"/>
        </w:rPr>
        <w:br w:type="page"/>
      </w:r>
      <w:bookmarkStart w:id="66" w:name="_Toc157235927"/>
      <w:bookmarkStart w:id="67" w:name="_Toc170621361"/>
      <w:bookmarkStart w:id="68" w:name="_Toc170621229"/>
      <w:bookmarkStart w:id="69" w:name="_Toc319145235"/>
      <w:r>
        <w:rPr>
          <w:rFonts w:hint="eastAsia"/>
          <w:b/>
          <w:color w:val="auto"/>
          <w:kern w:val="0"/>
          <w:position w:val="-1"/>
          <w:sz w:val="32"/>
          <w:szCs w:val="32"/>
          <w:highlight w:val="none"/>
        </w:rPr>
        <w:t>（二）项目管理、技术、服务人员情况表</w:t>
      </w:r>
    </w:p>
    <w:tbl>
      <w:tblPr>
        <w:tblStyle w:val="26"/>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4"/>
        <w:gridCol w:w="1196"/>
        <w:gridCol w:w="1592"/>
        <w:gridCol w:w="1094"/>
        <w:gridCol w:w="1134"/>
        <w:gridCol w:w="1255"/>
      </w:tblGrid>
      <w:tr w14:paraId="52FD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restart"/>
            <w:noWrap w:val="0"/>
            <w:vAlign w:val="center"/>
          </w:tcPr>
          <w:p w14:paraId="50AC2E7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1194" w:type="dxa"/>
            <w:vMerge w:val="restart"/>
            <w:noWrap w:val="0"/>
            <w:vAlign w:val="center"/>
          </w:tcPr>
          <w:p w14:paraId="4D18CE6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196" w:type="dxa"/>
            <w:vMerge w:val="restart"/>
            <w:noWrap w:val="0"/>
            <w:vAlign w:val="center"/>
          </w:tcPr>
          <w:p w14:paraId="3549A99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职称</w:t>
            </w:r>
          </w:p>
        </w:tc>
        <w:tc>
          <w:tcPr>
            <w:tcW w:w="5075" w:type="dxa"/>
            <w:gridSpan w:val="4"/>
            <w:noWrap w:val="0"/>
            <w:vAlign w:val="center"/>
          </w:tcPr>
          <w:p w14:paraId="1612C4D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资格证明</w:t>
            </w:r>
          </w:p>
        </w:tc>
      </w:tr>
      <w:tr w14:paraId="0CA2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194" w:type="dxa"/>
            <w:vMerge w:val="continue"/>
            <w:noWrap w:val="0"/>
            <w:vAlign w:val="center"/>
          </w:tcPr>
          <w:p w14:paraId="02B089A1">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vMerge w:val="continue"/>
            <w:noWrap w:val="0"/>
            <w:vAlign w:val="center"/>
          </w:tcPr>
          <w:p w14:paraId="082501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6" w:type="dxa"/>
            <w:vMerge w:val="continue"/>
            <w:noWrap w:val="0"/>
            <w:vAlign w:val="center"/>
          </w:tcPr>
          <w:p w14:paraId="7C3C513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592" w:type="dxa"/>
            <w:noWrap w:val="0"/>
            <w:vAlign w:val="center"/>
          </w:tcPr>
          <w:p w14:paraId="4E08A08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证书名称</w:t>
            </w:r>
          </w:p>
        </w:tc>
        <w:tc>
          <w:tcPr>
            <w:tcW w:w="1094" w:type="dxa"/>
            <w:noWrap w:val="0"/>
            <w:vAlign w:val="center"/>
          </w:tcPr>
          <w:p w14:paraId="0AE2C7FB">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级别</w:t>
            </w:r>
          </w:p>
        </w:tc>
        <w:tc>
          <w:tcPr>
            <w:tcW w:w="1134" w:type="dxa"/>
            <w:noWrap w:val="0"/>
            <w:vAlign w:val="center"/>
          </w:tcPr>
          <w:p w14:paraId="38F18CE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证号</w:t>
            </w:r>
          </w:p>
        </w:tc>
        <w:tc>
          <w:tcPr>
            <w:tcW w:w="1255" w:type="dxa"/>
            <w:noWrap w:val="0"/>
            <w:vAlign w:val="center"/>
          </w:tcPr>
          <w:p w14:paraId="0C9B97D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专业</w:t>
            </w:r>
          </w:p>
        </w:tc>
      </w:tr>
      <w:tr w14:paraId="4815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18D0E663">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6A370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397B7F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480253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21A74F0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p>
        </w:tc>
        <w:tc>
          <w:tcPr>
            <w:tcW w:w="1134" w:type="dxa"/>
            <w:noWrap w:val="0"/>
            <w:vAlign w:val="center"/>
          </w:tcPr>
          <w:p w14:paraId="4656D3A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E9461A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496A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6E2C58D">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00C943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45C9219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BBC9BC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F2BCBC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607F6B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647212F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59D5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745FA0F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493EEC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C39C4F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3E7507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0187AF7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428B925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3881279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76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2D3E2865">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D57523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00D3930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F8D09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738F5F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BCA1FD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C563F9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632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94" w:type="dxa"/>
            <w:noWrap w:val="0"/>
            <w:vAlign w:val="center"/>
          </w:tcPr>
          <w:p w14:paraId="5B02E14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23ECFDC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50A3A6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515A431F">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1B48640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72D397B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2E6B1AB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349E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A141004">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1432940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EB38CA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AFB73B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5E1E8178">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37E04EA">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1AEF438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0FA1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348DEF18">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8AE2C8B">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70594D4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2CD98C74">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9BDF7B0">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357AF2AC">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7E2A284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DE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16BCC100">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0CA952E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6C57729">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72502CF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3078EB05">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56E660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EDDD391">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r w14:paraId="789B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94" w:type="dxa"/>
            <w:noWrap w:val="0"/>
            <w:vAlign w:val="center"/>
          </w:tcPr>
          <w:p w14:paraId="696C7917">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p>
        </w:tc>
        <w:tc>
          <w:tcPr>
            <w:tcW w:w="1194" w:type="dxa"/>
            <w:noWrap w:val="0"/>
            <w:vAlign w:val="center"/>
          </w:tcPr>
          <w:p w14:paraId="5E13B362">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96" w:type="dxa"/>
            <w:noWrap w:val="0"/>
            <w:vAlign w:val="center"/>
          </w:tcPr>
          <w:p w14:paraId="3F06C023">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592" w:type="dxa"/>
            <w:noWrap w:val="0"/>
            <w:vAlign w:val="center"/>
          </w:tcPr>
          <w:p w14:paraId="01A532A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094" w:type="dxa"/>
            <w:noWrap w:val="0"/>
            <w:vAlign w:val="center"/>
          </w:tcPr>
          <w:p w14:paraId="4F0F075D">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134" w:type="dxa"/>
            <w:noWrap w:val="0"/>
            <w:vAlign w:val="center"/>
          </w:tcPr>
          <w:p w14:paraId="29416127">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c>
          <w:tcPr>
            <w:tcW w:w="1255" w:type="dxa"/>
            <w:noWrap w:val="0"/>
            <w:vAlign w:val="center"/>
          </w:tcPr>
          <w:p w14:paraId="48ACA3BE">
            <w:pPr>
              <w:keepNext w:val="0"/>
              <w:keepLines w:val="0"/>
              <w:suppressLineNumbers w:val="0"/>
              <w:spacing w:before="0" w:beforeAutospacing="0" w:after="0" w:afterAutospacing="0"/>
              <w:ind w:left="0" w:right="0"/>
              <w:jc w:val="center"/>
              <w:rPr>
                <w:rFonts w:hint="eastAsia" w:ascii="仿宋" w:hAnsi="仿宋" w:eastAsia="仿宋" w:cs="仿宋"/>
                <w:bCs/>
                <w:color w:val="auto"/>
                <w:highlight w:val="none"/>
              </w:rPr>
            </w:pPr>
          </w:p>
        </w:tc>
      </w:tr>
    </w:tbl>
    <w:p w14:paraId="21870DFA">
      <w:pPr>
        <w:spacing w:line="320" w:lineRule="exact"/>
        <w:rPr>
          <w:rFonts w:hint="eastAsia" w:ascii="仿宋" w:hAnsi="仿宋" w:eastAsia="仿宋" w:cs="仿宋"/>
          <w:color w:val="auto"/>
          <w:szCs w:val="28"/>
          <w:highlight w:val="none"/>
        </w:rPr>
      </w:pPr>
    </w:p>
    <w:bookmarkEnd w:id="66"/>
    <w:bookmarkEnd w:id="67"/>
    <w:bookmarkEnd w:id="68"/>
    <w:bookmarkEnd w:id="69"/>
    <w:p w14:paraId="656AC02A">
      <w:pPr>
        <w:ind w:right="-51" w:firstLine="630" w:firstLine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1.比选申请人提供对应人员证书复印件、身份证复印件及在职证明并加盖印章</w:t>
      </w:r>
      <w:r>
        <w:rPr>
          <w:rFonts w:hint="eastAsia" w:ascii="仿宋" w:hAnsi="仿宋" w:eastAsia="仿宋" w:cs="仿宋"/>
          <w:color w:val="auto"/>
          <w:sz w:val="21"/>
          <w:szCs w:val="21"/>
          <w:highlight w:val="none"/>
        </w:rPr>
        <w:t>。</w:t>
      </w:r>
    </w:p>
    <w:p w14:paraId="1E1AA938">
      <w:pPr>
        <w:ind w:right="-51" w:firstLine="630" w:firstLineChars="300"/>
        <w:jc w:val="left"/>
        <w:rPr>
          <w:rFonts w:hint="eastAsia" w:ascii="仿宋" w:hAnsi="仿宋" w:eastAsia="仿宋" w:cs="仿宋"/>
          <w:color w:val="auto"/>
          <w:sz w:val="21"/>
          <w:szCs w:val="21"/>
          <w:highlight w:val="none"/>
          <w:lang w:val="en-US" w:eastAsia="zh-CN"/>
        </w:rPr>
      </w:pPr>
    </w:p>
    <w:p w14:paraId="4CAAB4F3">
      <w:pPr>
        <w:spacing w:line="480" w:lineRule="auto"/>
        <w:jc w:val="center"/>
        <w:rPr>
          <w:rFonts w:hint="eastAsia" w:cs="Arial"/>
          <w:color w:val="auto"/>
          <w:kern w:val="44"/>
          <w:sz w:val="36"/>
          <w:szCs w:val="36"/>
          <w:highlight w:val="none"/>
        </w:rPr>
      </w:pPr>
      <w:r>
        <w:rPr>
          <w:rFonts w:cs="Arial"/>
          <w:color w:val="auto"/>
          <w:kern w:val="44"/>
          <w:sz w:val="36"/>
          <w:szCs w:val="36"/>
          <w:highlight w:val="none"/>
        </w:rPr>
        <w:br w:type="page"/>
      </w:r>
      <w:r>
        <w:rPr>
          <w:rFonts w:hint="eastAsia"/>
          <w:b/>
          <w:color w:val="auto"/>
          <w:kern w:val="0"/>
          <w:position w:val="-1"/>
          <w:sz w:val="32"/>
          <w:szCs w:val="32"/>
          <w:highlight w:val="none"/>
        </w:rPr>
        <w:t>（三）比选申请人类似项目业绩一览表</w:t>
      </w:r>
    </w:p>
    <w:tbl>
      <w:tblPr>
        <w:tblStyle w:val="26"/>
        <w:tblW w:w="88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41"/>
        <w:gridCol w:w="1439"/>
        <w:gridCol w:w="1319"/>
        <w:gridCol w:w="1160"/>
        <w:gridCol w:w="1421"/>
        <w:gridCol w:w="1614"/>
        <w:gridCol w:w="976"/>
      </w:tblGrid>
      <w:tr w14:paraId="443703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73ACF63C">
            <w:pPr>
              <w:keepNext w:val="0"/>
              <w:keepLines w:val="0"/>
              <w:suppressLineNumbers w:val="0"/>
              <w:spacing w:before="0" w:beforeAutospacing="0" w:after="0" w:afterAutospacing="0" w:line="400" w:lineRule="exact"/>
              <w:ind w:left="0" w:right="0" w:firstLine="141" w:firstLineChars="50"/>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39" w:type="dxa"/>
            <w:noWrap w:val="0"/>
            <w:vAlign w:val="center"/>
          </w:tcPr>
          <w:p w14:paraId="390717B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用户名称</w:t>
            </w:r>
          </w:p>
        </w:tc>
        <w:tc>
          <w:tcPr>
            <w:tcW w:w="1319" w:type="dxa"/>
            <w:noWrap w:val="0"/>
            <w:vAlign w:val="center"/>
          </w:tcPr>
          <w:p w14:paraId="4731788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项目名称</w:t>
            </w:r>
          </w:p>
        </w:tc>
        <w:tc>
          <w:tcPr>
            <w:tcW w:w="1160" w:type="dxa"/>
            <w:noWrap w:val="0"/>
            <w:vAlign w:val="center"/>
          </w:tcPr>
          <w:p w14:paraId="6D6CAE9F">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完成</w:t>
            </w:r>
          </w:p>
          <w:p w14:paraId="21881E4A">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时间</w:t>
            </w:r>
          </w:p>
        </w:tc>
        <w:tc>
          <w:tcPr>
            <w:tcW w:w="1421" w:type="dxa"/>
            <w:noWrap w:val="0"/>
            <w:vAlign w:val="center"/>
          </w:tcPr>
          <w:p w14:paraId="225EC946">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合同金额</w:t>
            </w:r>
          </w:p>
        </w:tc>
        <w:tc>
          <w:tcPr>
            <w:tcW w:w="1614" w:type="dxa"/>
            <w:tcBorders>
              <w:right w:val="single" w:color="auto" w:sz="4" w:space="0"/>
            </w:tcBorders>
            <w:noWrap w:val="0"/>
            <w:vAlign w:val="center"/>
          </w:tcPr>
          <w:p w14:paraId="0FE9B4AC">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是否通</w:t>
            </w:r>
          </w:p>
          <w:p w14:paraId="40D77BF7">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过验收</w:t>
            </w:r>
          </w:p>
        </w:tc>
        <w:tc>
          <w:tcPr>
            <w:tcW w:w="976" w:type="dxa"/>
            <w:tcBorders>
              <w:left w:val="single" w:color="auto" w:sz="4" w:space="0"/>
            </w:tcBorders>
            <w:noWrap w:val="0"/>
            <w:vAlign w:val="center"/>
          </w:tcPr>
          <w:p w14:paraId="20D096DB">
            <w:pPr>
              <w:keepNext w:val="0"/>
              <w:keepLines w:val="0"/>
              <w:suppressLineNumbers w:val="0"/>
              <w:spacing w:before="0" w:beforeAutospacing="0" w:after="0" w:afterAutospacing="0" w:line="400" w:lineRule="exact"/>
              <w:ind w:left="0" w:right="0"/>
              <w:jc w:val="center"/>
              <w:rPr>
                <w:rFonts w:hint="eastAsia" w:ascii="仿宋" w:hAnsi="仿宋" w:eastAsia="仿宋" w:cs="仿宋"/>
                <w:b/>
                <w:color w:val="auto"/>
                <w:highlight w:val="none"/>
              </w:rPr>
            </w:pPr>
            <w:r>
              <w:rPr>
                <w:rFonts w:hint="eastAsia" w:ascii="仿宋" w:hAnsi="仿宋" w:eastAsia="仿宋" w:cs="仿宋"/>
                <w:b/>
                <w:color w:val="auto"/>
                <w:highlight w:val="none"/>
              </w:rPr>
              <w:t>备注</w:t>
            </w:r>
          </w:p>
        </w:tc>
      </w:tr>
      <w:tr w14:paraId="35CAAE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6005CF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05193A9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578082B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55F6C0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A4E289D">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3EF0DCB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11AE2C4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4DDC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2A29D15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316C4F4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27C8CC5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4557B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56750E5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2E5D25F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3DE3F79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E60E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135D276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noWrap w:val="0"/>
            <w:vAlign w:val="center"/>
          </w:tcPr>
          <w:p w14:paraId="2F7F957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noWrap w:val="0"/>
            <w:vAlign w:val="center"/>
          </w:tcPr>
          <w:p w14:paraId="7D3135D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06E3FEC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204839D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448D1C3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7F1F21E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6B884C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noWrap w:val="0"/>
            <w:vAlign w:val="center"/>
          </w:tcPr>
          <w:p w14:paraId="3D5C039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right w:val="single" w:color="auto" w:sz="4" w:space="0"/>
            </w:tcBorders>
            <w:noWrap w:val="0"/>
            <w:vAlign w:val="center"/>
          </w:tcPr>
          <w:p w14:paraId="5D0A389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left w:val="single" w:color="auto" w:sz="4" w:space="0"/>
            </w:tcBorders>
            <w:noWrap w:val="0"/>
            <w:vAlign w:val="center"/>
          </w:tcPr>
          <w:p w14:paraId="4ABF27B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noWrap w:val="0"/>
            <w:vAlign w:val="center"/>
          </w:tcPr>
          <w:p w14:paraId="72EC0FD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noWrap w:val="0"/>
            <w:vAlign w:val="center"/>
          </w:tcPr>
          <w:p w14:paraId="7A368E1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right w:val="single" w:color="auto" w:sz="4" w:space="0"/>
            </w:tcBorders>
            <w:noWrap w:val="0"/>
            <w:vAlign w:val="center"/>
          </w:tcPr>
          <w:p w14:paraId="17562B3C">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left w:val="single" w:color="auto" w:sz="4" w:space="0"/>
            </w:tcBorders>
            <w:noWrap w:val="0"/>
            <w:vAlign w:val="center"/>
          </w:tcPr>
          <w:p w14:paraId="67511C75">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1DF0A9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7C050BA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3F5161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7657DD2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565BF32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88946A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6EE553C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284C4676">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4B550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bottom w:val="single" w:color="auto" w:sz="4" w:space="0"/>
            </w:tcBorders>
            <w:noWrap w:val="0"/>
            <w:vAlign w:val="center"/>
          </w:tcPr>
          <w:p w14:paraId="46C89DD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bottom w:val="single" w:color="auto" w:sz="4" w:space="0"/>
            </w:tcBorders>
            <w:noWrap w:val="0"/>
            <w:vAlign w:val="center"/>
          </w:tcPr>
          <w:p w14:paraId="5944EA1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bottom w:val="single" w:color="auto" w:sz="4" w:space="0"/>
            </w:tcBorders>
            <w:noWrap w:val="0"/>
            <w:vAlign w:val="center"/>
          </w:tcPr>
          <w:p w14:paraId="2917634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bottom w:val="single" w:color="auto" w:sz="4" w:space="0"/>
            </w:tcBorders>
            <w:noWrap w:val="0"/>
            <w:vAlign w:val="center"/>
          </w:tcPr>
          <w:p w14:paraId="75B11BBE">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97B7B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271A60">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bottom w:val="single" w:color="auto" w:sz="4" w:space="0"/>
            </w:tcBorders>
            <w:noWrap w:val="0"/>
            <w:vAlign w:val="center"/>
          </w:tcPr>
          <w:p w14:paraId="4211EE7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r w14:paraId="20F66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941" w:type="dxa"/>
            <w:tcBorders>
              <w:top w:val="single" w:color="auto" w:sz="4" w:space="0"/>
            </w:tcBorders>
            <w:noWrap w:val="0"/>
            <w:vAlign w:val="center"/>
          </w:tcPr>
          <w:p w14:paraId="212037E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39" w:type="dxa"/>
            <w:tcBorders>
              <w:top w:val="single" w:color="auto" w:sz="4" w:space="0"/>
            </w:tcBorders>
            <w:noWrap w:val="0"/>
            <w:vAlign w:val="center"/>
          </w:tcPr>
          <w:p w14:paraId="1D18030F">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319" w:type="dxa"/>
            <w:tcBorders>
              <w:top w:val="single" w:color="auto" w:sz="4" w:space="0"/>
            </w:tcBorders>
            <w:noWrap w:val="0"/>
            <w:vAlign w:val="center"/>
          </w:tcPr>
          <w:p w14:paraId="383FC8A8">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160" w:type="dxa"/>
            <w:tcBorders>
              <w:top w:val="single" w:color="auto" w:sz="4" w:space="0"/>
            </w:tcBorders>
            <w:noWrap w:val="0"/>
            <w:vAlign w:val="center"/>
          </w:tcPr>
          <w:p w14:paraId="784294D9">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421" w:type="dxa"/>
            <w:tcBorders>
              <w:top w:val="single" w:color="auto" w:sz="4" w:space="0"/>
              <w:right w:val="single" w:color="auto" w:sz="4" w:space="0"/>
            </w:tcBorders>
            <w:noWrap w:val="0"/>
            <w:vAlign w:val="center"/>
          </w:tcPr>
          <w:p w14:paraId="2F9F038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0355D9D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c>
          <w:tcPr>
            <w:tcW w:w="976" w:type="dxa"/>
            <w:tcBorders>
              <w:top w:val="single" w:color="auto" w:sz="4" w:space="0"/>
              <w:left w:val="single" w:color="auto" w:sz="4" w:space="0"/>
            </w:tcBorders>
            <w:noWrap w:val="0"/>
            <w:vAlign w:val="center"/>
          </w:tcPr>
          <w:p w14:paraId="5DB10371">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auto"/>
                <w:highlight w:val="none"/>
              </w:rPr>
            </w:pPr>
          </w:p>
        </w:tc>
      </w:tr>
    </w:tbl>
    <w:p w14:paraId="06EB925C">
      <w:pPr>
        <w:pStyle w:val="2"/>
        <w:rPr>
          <w:rFonts w:hint="eastAsia" w:eastAsia="宋体"/>
          <w:color w:val="auto"/>
          <w:highlight w:val="none"/>
          <w:lang w:val="en-US" w:eastAsia="zh-CN"/>
        </w:rPr>
      </w:pPr>
    </w:p>
    <w:p w14:paraId="1D5713D2">
      <w:pPr>
        <w:spacing w:line="20" w:lineRule="exact"/>
        <w:rPr>
          <w:color w:val="auto"/>
          <w:highlight w:val="none"/>
        </w:rPr>
      </w:pPr>
      <w:bookmarkStart w:id="70" w:name="_Toc170621362"/>
      <w:bookmarkStart w:id="71" w:name="_Toc157235928"/>
      <w:bookmarkStart w:id="72" w:name="_Toc319145236"/>
      <w:bookmarkStart w:id="73" w:name="_Toc170621230"/>
    </w:p>
    <w:bookmarkEnd w:id="70"/>
    <w:bookmarkEnd w:id="71"/>
    <w:bookmarkEnd w:id="72"/>
    <w:bookmarkEnd w:id="73"/>
    <w:p w14:paraId="15863597">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bookmarkStart w:id="74" w:name="_Toc17284927"/>
      <w:r>
        <w:rPr>
          <w:rFonts w:hint="eastAsia"/>
          <w:b/>
          <w:color w:val="auto"/>
          <w:kern w:val="0"/>
          <w:position w:val="-1"/>
          <w:sz w:val="32"/>
          <w:szCs w:val="32"/>
          <w:highlight w:val="none"/>
        </w:rPr>
        <w:t>五、比选申请人承诺书</w:t>
      </w:r>
      <w:bookmarkEnd w:id="74"/>
    </w:p>
    <w:p w14:paraId="30824AAC">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09ADB725">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0E869A7E">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1D15EE8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66B9C72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3、我单位完全理解业主单位因法律和政策原因取消比选、以及拒绝所有的比选申请人而重新比选，并对此类任何行为不承担任何责任。</w:t>
      </w:r>
    </w:p>
    <w:p w14:paraId="10766F6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306C6643">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（填写“具有”或“不具有”）比选文件规定的限制参与比选的情形。</w:t>
      </w:r>
    </w:p>
    <w:p w14:paraId="29C6E1C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4CCD5C08">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461FD6E">
      <w:pPr>
        <w:pStyle w:val="2"/>
        <w:spacing w:after="0" w:line="360" w:lineRule="auto"/>
        <w:rPr>
          <w:rFonts w:hint="eastAsia" w:ascii="仿宋" w:hAnsi="仿宋" w:eastAsia="仿宋" w:cs="仿宋"/>
          <w:color w:val="auto"/>
          <w:highlight w:val="none"/>
        </w:rPr>
      </w:pPr>
    </w:p>
    <w:p w14:paraId="3B58A98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4A21DA77">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E9ACC7B">
      <w:pPr>
        <w:snapToGrid w:val="0"/>
        <w:spacing w:line="360" w:lineRule="auto"/>
        <w:jc w:val="right"/>
        <w:textAlignment w:val="baseline"/>
        <w:rPr>
          <w:rFonts w:hint="eastAsia" w:ascii="仿宋" w:hAnsi="仿宋" w:eastAsia="仿宋" w:cs="仿宋"/>
          <w:color w:val="auto"/>
          <w:szCs w:val="28"/>
          <w:highlight w:val="none"/>
        </w:rPr>
      </w:pPr>
    </w:p>
    <w:p w14:paraId="0E6917E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69F267F1">
      <w:pPr>
        <w:pageBreakBefore/>
        <w:autoSpaceDE w:val="0"/>
        <w:autoSpaceDN w:val="0"/>
        <w:adjustRightInd w:val="0"/>
        <w:spacing w:line="362" w:lineRule="exact"/>
        <w:ind w:right="-23"/>
        <w:jc w:val="center"/>
        <w:outlineLvl w:val="0"/>
        <w:rPr>
          <w:rFonts w:hint="default" w:ascii="宋体" w:hAnsi="宋体"/>
          <w:b/>
          <w:color w:val="auto"/>
          <w:kern w:val="0"/>
          <w:position w:val="-1"/>
          <w:sz w:val="32"/>
          <w:szCs w:val="32"/>
          <w:highlight w:val="none"/>
          <w:lang w:val="en-US" w:eastAsia="zh-CN"/>
        </w:rPr>
      </w:pPr>
      <w:r>
        <w:rPr>
          <w:rFonts w:hint="eastAsia" w:ascii="宋体" w:hAnsi="宋体"/>
          <w:b/>
          <w:color w:val="auto"/>
          <w:kern w:val="0"/>
          <w:position w:val="-1"/>
          <w:sz w:val="32"/>
          <w:szCs w:val="32"/>
          <w:highlight w:val="none"/>
        </w:rPr>
        <w:t>六、</w:t>
      </w:r>
      <w:r>
        <w:rPr>
          <w:rFonts w:hint="eastAsia" w:ascii="宋体" w:hAnsi="宋体"/>
          <w:b/>
          <w:color w:val="auto"/>
          <w:kern w:val="0"/>
          <w:position w:val="-1"/>
          <w:sz w:val="32"/>
          <w:szCs w:val="32"/>
          <w:highlight w:val="none"/>
          <w:lang w:val="en-US" w:eastAsia="zh-CN"/>
        </w:rPr>
        <w:t>技术要求响应材料（如有）</w:t>
      </w:r>
    </w:p>
    <w:p w14:paraId="23B49884">
      <w:pP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br w:type="page"/>
      </w:r>
    </w:p>
    <w:p w14:paraId="4E7797F7">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lang w:val="en-US" w:eastAsia="zh-CN"/>
        </w:rPr>
        <w:t>七、</w:t>
      </w:r>
      <w:r>
        <w:rPr>
          <w:rFonts w:hint="eastAsia"/>
          <w:b/>
          <w:color w:val="auto"/>
          <w:kern w:val="0"/>
          <w:position w:val="-1"/>
          <w:sz w:val="32"/>
          <w:szCs w:val="32"/>
          <w:highlight w:val="none"/>
        </w:rPr>
        <w:fldChar w:fldCharType="begin"/>
      </w:r>
      <w:r>
        <w:rPr>
          <w:rFonts w:hint="eastAsia"/>
          <w:b/>
          <w:color w:val="auto"/>
          <w:kern w:val="0"/>
          <w:position w:val="-1"/>
          <w:sz w:val="32"/>
          <w:szCs w:val="32"/>
          <w:highlight w:val="none"/>
        </w:rPr>
        <w:instrText xml:space="preserve"> HYPERLINK \l "_Toc4641" </w:instrText>
      </w:r>
      <w:r>
        <w:rPr>
          <w:rFonts w:hint="eastAsia"/>
          <w:b/>
          <w:color w:val="auto"/>
          <w:kern w:val="0"/>
          <w:position w:val="-1"/>
          <w:sz w:val="32"/>
          <w:szCs w:val="32"/>
          <w:highlight w:val="none"/>
        </w:rPr>
        <w:fldChar w:fldCharType="separate"/>
      </w:r>
      <w:r>
        <w:rPr>
          <w:rFonts w:hint="eastAsia"/>
          <w:b/>
          <w:color w:val="auto"/>
          <w:kern w:val="0"/>
          <w:position w:val="-1"/>
          <w:sz w:val="32"/>
          <w:szCs w:val="32"/>
          <w:highlight w:val="none"/>
          <w:lang w:val="en-US" w:eastAsia="zh-CN"/>
        </w:rPr>
        <w:t>项目实施</w:t>
      </w:r>
      <w:r>
        <w:rPr>
          <w:rFonts w:hint="eastAsia"/>
          <w:b/>
          <w:color w:val="auto"/>
          <w:kern w:val="0"/>
          <w:position w:val="-1"/>
          <w:sz w:val="32"/>
          <w:szCs w:val="32"/>
          <w:highlight w:val="none"/>
        </w:rPr>
        <w:t>方案</w:t>
      </w:r>
      <w:r>
        <w:rPr>
          <w:rFonts w:hint="eastAsia"/>
          <w:b/>
          <w:color w:val="auto"/>
          <w:kern w:val="0"/>
          <w:position w:val="-1"/>
          <w:sz w:val="32"/>
          <w:szCs w:val="32"/>
          <w:highlight w:val="none"/>
        </w:rPr>
        <w:fldChar w:fldCharType="end"/>
      </w:r>
    </w:p>
    <w:p w14:paraId="4A0FE03D">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八</w:t>
      </w:r>
      <w:r>
        <w:rPr>
          <w:rFonts w:hint="eastAsia"/>
          <w:b/>
          <w:color w:val="auto"/>
          <w:kern w:val="0"/>
          <w:position w:val="-1"/>
          <w:sz w:val="32"/>
          <w:szCs w:val="32"/>
          <w:highlight w:val="none"/>
        </w:rPr>
        <w:t>、比选申请人的</w:t>
      </w:r>
      <w:r>
        <w:rPr>
          <w:rFonts w:hint="eastAsia"/>
          <w:b/>
          <w:color w:val="auto"/>
          <w:kern w:val="0"/>
          <w:position w:val="-1"/>
          <w:sz w:val="32"/>
          <w:szCs w:val="32"/>
          <w:highlight w:val="none"/>
          <w:lang w:val="en-US" w:eastAsia="zh-CN"/>
        </w:rPr>
        <w:t>履约能力承诺</w:t>
      </w:r>
    </w:p>
    <w:p w14:paraId="1CE796E3">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AC5823C">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0FFE91A9">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color w:val="auto"/>
          <w:szCs w:val="28"/>
          <w:highlight w:val="none"/>
          <w:lang w:val="en-US" w:eastAsia="zh-CN"/>
        </w:rPr>
        <w:t>我单位</w:t>
      </w:r>
      <w:r>
        <w:rPr>
          <w:rFonts w:hint="eastAsia" w:ascii="仿宋" w:hAnsi="仿宋" w:eastAsia="仿宋" w:cs="仿宋"/>
          <w:color w:val="auto"/>
          <w:szCs w:val="28"/>
          <w:highlight w:val="none"/>
        </w:rPr>
        <w:t>具有履行合同所必须的专业技术能力；</w:t>
      </w:r>
    </w:p>
    <w:p w14:paraId="77D31574">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我单位</w:t>
      </w:r>
      <w:r>
        <w:rPr>
          <w:rFonts w:hint="eastAsia" w:ascii="仿宋" w:hAnsi="仿宋" w:eastAsia="仿宋" w:cs="仿宋"/>
          <w:color w:val="auto"/>
          <w:szCs w:val="28"/>
          <w:highlight w:val="none"/>
        </w:rPr>
        <w:t>具有良好的商业信及履约记录。</w:t>
      </w:r>
    </w:p>
    <w:p w14:paraId="7A6B349D">
      <w:pPr>
        <w:snapToGrid w:val="0"/>
        <w:spacing w:line="360" w:lineRule="auto"/>
        <w:ind w:firstLine="540"/>
        <w:jc w:val="left"/>
        <w:textAlignment w:val="baseline"/>
        <w:rPr>
          <w:rFonts w:hint="eastAsia" w:ascii="仿宋" w:hAnsi="仿宋" w:eastAsia="仿宋" w:cs="仿宋"/>
          <w:color w:val="auto"/>
          <w:szCs w:val="28"/>
          <w:highlight w:val="none"/>
        </w:rPr>
      </w:pPr>
    </w:p>
    <w:p w14:paraId="2200F391">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4A838110">
      <w:pPr>
        <w:pStyle w:val="2"/>
        <w:spacing w:after="0" w:line="360" w:lineRule="auto"/>
        <w:rPr>
          <w:rFonts w:hint="eastAsia" w:ascii="仿宋" w:hAnsi="仿宋" w:eastAsia="仿宋" w:cs="仿宋"/>
          <w:color w:val="auto"/>
          <w:highlight w:val="none"/>
        </w:rPr>
      </w:pPr>
    </w:p>
    <w:p w14:paraId="1B78C564">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54F61C5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46B489F7">
      <w:pPr>
        <w:snapToGrid w:val="0"/>
        <w:spacing w:line="360" w:lineRule="auto"/>
        <w:jc w:val="right"/>
        <w:textAlignment w:val="baseline"/>
        <w:rPr>
          <w:rFonts w:hint="eastAsia" w:ascii="仿宋" w:hAnsi="仿宋" w:eastAsia="仿宋" w:cs="仿宋"/>
          <w:color w:val="auto"/>
          <w:szCs w:val="28"/>
          <w:highlight w:val="none"/>
        </w:rPr>
      </w:pPr>
    </w:p>
    <w:p w14:paraId="3688AF64">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1E79CE04">
      <w:pPr>
        <w:pageBreakBefore/>
        <w:autoSpaceDE w:val="0"/>
        <w:autoSpaceDN w:val="0"/>
        <w:adjustRightInd w:val="0"/>
        <w:spacing w:line="362" w:lineRule="exact"/>
        <w:ind w:right="-23"/>
        <w:jc w:val="center"/>
        <w:outlineLvl w:val="0"/>
        <w:rPr>
          <w:rFonts w:hint="eastAsia" w:eastAsia="等线"/>
          <w:b/>
          <w:color w:val="auto"/>
          <w:kern w:val="0"/>
          <w:position w:val="-1"/>
          <w:sz w:val="32"/>
          <w:szCs w:val="32"/>
          <w:highlight w:val="none"/>
          <w:lang w:val="en-US" w:eastAsia="zh-CN"/>
        </w:rPr>
      </w:pPr>
      <w:r>
        <w:rPr>
          <w:rFonts w:hint="eastAsia"/>
          <w:b/>
          <w:color w:val="auto"/>
          <w:kern w:val="0"/>
          <w:position w:val="-1"/>
          <w:sz w:val="32"/>
          <w:szCs w:val="32"/>
          <w:highlight w:val="none"/>
          <w:lang w:val="en-US" w:eastAsia="zh-CN"/>
        </w:rPr>
        <w:t>九</w:t>
      </w:r>
      <w:r>
        <w:rPr>
          <w:rFonts w:hint="eastAsia"/>
          <w:b/>
          <w:color w:val="auto"/>
          <w:kern w:val="0"/>
          <w:position w:val="-1"/>
          <w:sz w:val="32"/>
          <w:szCs w:val="32"/>
          <w:highlight w:val="none"/>
        </w:rPr>
        <w:t>、比选申请人的信誉情况</w:t>
      </w:r>
      <w:r>
        <w:rPr>
          <w:rFonts w:hint="eastAsia"/>
          <w:b/>
          <w:color w:val="auto"/>
          <w:kern w:val="0"/>
          <w:position w:val="-1"/>
          <w:sz w:val="32"/>
          <w:szCs w:val="32"/>
          <w:highlight w:val="none"/>
          <w:lang w:val="en-US" w:eastAsia="zh-CN"/>
        </w:rPr>
        <w:t>承诺</w:t>
      </w:r>
    </w:p>
    <w:p w14:paraId="63487EEB">
      <w:pPr>
        <w:snapToGrid w:val="0"/>
        <w:spacing w:line="360" w:lineRule="auto"/>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（比选人）</w:t>
      </w:r>
    </w:p>
    <w:p w14:paraId="242F233D">
      <w:pPr>
        <w:snapToGrid w:val="0"/>
        <w:spacing w:line="360" w:lineRule="auto"/>
        <w:ind w:firstLine="560" w:firstLineChars="20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（项目名称），作为比选申请人，我单位承诺如下：</w:t>
      </w:r>
    </w:p>
    <w:p w14:paraId="1B849DD3">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（1）</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被州级及以上主管部门取消比选项目所在地的投标资格且处于有效期内。</w:t>
      </w:r>
    </w:p>
    <w:p w14:paraId="71C0521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（2）</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被责令停业，暂扣或吊销执照，或吊销资质证书。</w:t>
      </w:r>
    </w:p>
    <w:p w14:paraId="5070010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（3）</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进入清算程序，或被宣告破产，或其他丧失履约能力的情形。</w:t>
      </w:r>
    </w:p>
    <w:p w14:paraId="2ABEDC65">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（4）</w:t>
      </w:r>
      <w:r>
        <w:rPr>
          <w:rFonts w:hint="eastAsia" w:ascii="Times New Roman" w:hAnsi="Times New Roman" w:eastAsia="仿宋"/>
          <w:color w:val="auto"/>
          <w:spacing w:val="5"/>
          <w:szCs w:val="28"/>
          <w:highlight w:val="none"/>
          <w:lang w:val="en-US" w:eastAsia="zh-CN"/>
        </w:rPr>
        <w:t>未</w:t>
      </w:r>
      <w:r>
        <w:rPr>
          <w:rFonts w:hint="eastAsia" w:ascii="Times New Roman" w:hAnsi="Times New Roman" w:eastAsia="仿宋"/>
          <w:color w:val="auto"/>
          <w:spacing w:val="5"/>
          <w:szCs w:val="28"/>
          <w:highlight w:val="none"/>
        </w:rPr>
        <w:t>在国家企业信用信息公示系统（http://www.gsxt.gov.cn/）中被列入严重违法失信企业名单。</w:t>
      </w:r>
    </w:p>
    <w:p w14:paraId="664E1E52">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（5）在“信用中国”网站（http://www.creditchina.gov.cn/）中被列入失信被执行人名单，不接受其比选。</w:t>
      </w:r>
    </w:p>
    <w:p w14:paraId="6015E586">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（6）近三年内，比选申请人或其法定代表人、拟委任的项目负责人无行贿犯罪行为。</w:t>
      </w:r>
    </w:p>
    <w:p w14:paraId="11AC12C1">
      <w:pPr>
        <w:spacing w:line="520" w:lineRule="exact"/>
        <w:ind w:firstLine="678"/>
        <w:rPr>
          <w:rFonts w:hint="eastAsia" w:ascii="Times New Roman" w:hAnsi="Times New Roman" w:eastAsia="仿宋"/>
          <w:color w:val="auto"/>
          <w:spacing w:val="5"/>
          <w:szCs w:val="28"/>
          <w:highlight w:val="none"/>
        </w:rPr>
      </w:pPr>
      <w:r>
        <w:rPr>
          <w:rFonts w:hint="eastAsia" w:ascii="Times New Roman" w:hAnsi="Times New Roman" w:eastAsia="仿宋"/>
          <w:color w:val="auto"/>
          <w:spacing w:val="5"/>
          <w:szCs w:val="28"/>
          <w:highlight w:val="none"/>
        </w:rPr>
        <w:t>（7）近三年内，比选申请人和其法定代表人、拟委任的项目负责人在相关主管部门无不良信用记录。</w:t>
      </w:r>
    </w:p>
    <w:p w14:paraId="635B9CEB">
      <w:pPr>
        <w:spacing w:line="127" w:lineRule="exact"/>
        <w:rPr>
          <w:rFonts w:hint="eastAsia"/>
          <w:color w:val="auto"/>
          <w:sz w:val="20"/>
          <w:szCs w:val="20"/>
          <w:highlight w:val="none"/>
        </w:rPr>
      </w:pPr>
    </w:p>
    <w:p w14:paraId="721A92FF">
      <w:pPr>
        <w:snapToGrid w:val="0"/>
        <w:spacing w:line="360" w:lineRule="auto"/>
        <w:ind w:firstLine="540"/>
        <w:jc w:val="lef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07E8757B">
      <w:pPr>
        <w:pStyle w:val="2"/>
        <w:spacing w:after="0" w:line="360" w:lineRule="auto"/>
        <w:rPr>
          <w:rFonts w:hint="eastAsia" w:ascii="仿宋" w:hAnsi="仿宋" w:eastAsia="仿宋" w:cs="仿宋"/>
          <w:color w:val="auto"/>
          <w:highlight w:val="none"/>
        </w:rPr>
      </w:pPr>
    </w:p>
    <w:p w14:paraId="0066A8A2">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比选申请人：（盖单位章）</w:t>
      </w:r>
    </w:p>
    <w:p w14:paraId="4769160D">
      <w:pPr>
        <w:snapToGrid w:val="0"/>
        <w:spacing w:line="360" w:lineRule="auto"/>
        <w:jc w:val="right"/>
        <w:textAlignment w:val="baseline"/>
        <w:rPr>
          <w:rFonts w:hint="eastAsia"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53816BE3">
      <w:pPr>
        <w:snapToGrid w:val="0"/>
        <w:spacing w:line="360" w:lineRule="auto"/>
        <w:jc w:val="right"/>
        <w:textAlignment w:val="baseline"/>
        <w:rPr>
          <w:rFonts w:hint="eastAsia" w:ascii="仿宋" w:hAnsi="仿宋" w:eastAsia="仿宋" w:cs="仿宋"/>
          <w:color w:val="auto"/>
          <w:szCs w:val="28"/>
          <w:highlight w:val="none"/>
        </w:rPr>
      </w:pPr>
    </w:p>
    <w:p w14:paraId="6AF86035">
      <w:pPr>
        <w:snapToGrid w:val="0"/>
        <w:spacing w:line="360" w:lineRule="auto"/>
        <w:jc w:val="right"/>
        <w:textAlignment w:val="baseline"/>
        <w:rPr>
          <w:rFonts w:hint="eastAsia" w:ascii="仿宋" w:hAnsi="仿宋" w:eastAsia="仿宋" w:cs="仿宋"/>
          <w:color w:val="auto"/>
          <w:sz w:val="20"/>
          <w:highlight w:val="none"/>
        </w:rPr>
      </w:pPr>
      <w:r>
        <w:rPr>
          <w:rFonts w:hint="eastAsia" w:ascii="仿宋" w:hAnsi="仿宋" w:eastAsia="仿宋" w:cs="仿宋"/>
          <w:color w:val="auto"/>
          <w:szCs w:val="28"/>
          <w:highlight w:val="none"/>
        </w:rPr>
        <w:t>日期：  年  月  日</w:t>
      </w:r>
    </w:p>
    <w:p w14:paraId="52977F34">
      <w:pPr>
        <w:pageBreakBefore/>
        <w:autoSpaceDE w:val="0"/>
        <w:autoSpaceDN w:val="0"/>
        <w:adjustRightInd w:val="0"/>
        <w:spacing w:line="362" w:lineRule="exact"/>
        <w:ind w:right="-23"/>
        <w:jc w:val="center"/>
        <w:outlineLvl w:val="0"/>
        <w:rPr>
          <w:rFonts w:hint="eastAsia"/>
          <w:b/>
          <w:color w:val="auto"/>
          <w:kern w:val="0"/>
          <w:position w:val="-1"/>
          <w:sz w:val="32"/>
          <w:szCs w:val="32"/>
          <w:highlight w:val="none"/>
        </w:rPr>
      </w:pPr>
      <w:r>
        <w:rPr>
          <w:rFonts w:hint="eastAsia"/>
          <w:b/>
          <w:color w:val="auto"/>
          <w:kern w:val="0"/>
          <w:position w:val="-1"/>
          <w:sz w:val="32"/>
          <w:szCs w:val="32"/>
          <w:highlight w:val="none"/>
          <w:lang w:val="en-US" w:eastAsia="zh-CN"/>
        </w:rPr>
        <w:t>十</w:t>
      </w:r>
      <w:r>
        <w:rPr>
          <w:rFonts w:hint="eastAsia"/>
          <w:b/>
          <w:color w:val="auto"/>
          <w:kern w:val="0"/>
          <w:position w:val="-1"/>
          <w:sz w:val="32"/>
          <w:szCs w:val="32"/>
          <w:highlight w:val="none"/>
        </w:rPr>
        <w:t>、</w:t>
      </w:r>
      <w:r>
        <w:rPr>
          <w:rFonts w:hint="eastAsia"/>
          <w:b/>
          <w:color w:val="auto"/>
          <w:kern w:val="0"/>
          <w:position w:val="-1"/>
          <w:sz w:val="32"/>
          <w:szCs w:val="32"/>
          <w:highlight w:val="none"/>
        </w:rPr>
        <w:fldChar w:fldCharType="begin"/>
      </w:r>
      <w:r>
        <w:rPr>
          <w:rFonts w:hint="eastAsia"/>
          <w:b/>
          <w:color w:val="auto"/>
          <w:kern w:val="0"/>
          <w:position w:val="-1"/>
          <w:sz w:val="32"/>
          <w:szCs w:val="32"/>
          <w:highlight w:val="none"/>
        </w:rPr>
        <w:instrText xml:space="preserve"> HYPERLINK \l "_Toc4641" </w:instrText>
      </w:r>
      <w:r>
        <w:rPr>
          <w:rFonts w:hint="eastAsia"/>
          <w:b/>
          <w:color w:val="auto"/>
          <w:kern w:val="0"/>
          <w:position w:val="-1"/>
          <w:sz w:val="32"/>
          <w:szCs w:val="32"/>
          <w:highlight w:val="none"/>
        </w:rPr>
        <w:fldChar w:fldCharType="separate"/>
      </w:r>
      <w:r>
        <w:rPr>
          <w:rFonts w:hint="eastAsia"/>
          <w:b/>
          <w:color w:val="auto"/>
          <w:kern w:val="0"/>
          <w:position w:val="-1"/>
          <w:sz w:val="32"/>
          <w:szCs w:val="32"/>
          <w:highlight w:val="none"/>
        </w:rPr>
        <w:t>其他材料</w:t>
      </w:r>
      <w:r>
        <w:rPr>
          <w:rFonts w:hint="eastAsia"/>
          <w:b/>
          <w:color w:val="auto"/>
          <w:kern w:val="0"/>
          <w:position w:val="-1"/>
          <w:sz w:val="32"/>
          <w:szCs w:val="32"/>
          <w:highlight w:val="none"/>
        </w:rPr>
        <w:fldChar w:fldCharType="end"/>
      </w:r>
    </w:p>
    <w:sectPr>
      <w:headerReference r:id="rId4" w:type="default"/>
      <w:footerReference r:id="rId5" w:type="default"/>
      <w:pgSz w:w="11906" w:h="16838"/>
      <w:pgMar w:top="1440" w:right="1344" w:bottom="1440" w:left="11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53F1CC-74B5-4FB1-8F12-D6D68D908DB4}"/>
  </w:font>
  <w:font w:name="黑体">
    <w:panose1 w:val="02010609060101010101"/>
    <w:charset w:val="86"/>
    <w:family w:val="auto"/>
    <w:pitch w:val="default"/>
    <w:sig w:usb0="800002BF" w:usb1="38CF7CFA" w:usb2="00000016" w:usb3="00000000" w:csb0="00040001" w:csb1="00000000"/>
    <w:embedRegular r:id="rId2" w:fontKey="{83CF8272-2D26-45CE-9993-873ACA61FF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108E16B1-E7C8-40D2-9B41-27891631804C}"/>
  </w:font>
  <w:font w:name="楷体à.ā">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BCA5B206-C1E5-418C-A8FC-92C672E44027}"/>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B79B9D5B-959C-4307-942C-61C37E8CAAA2}"/>
  </w:font>
  <w:font w:name="仿宋_GB2312">
    <w:panose1 w:val="02010609030101010101"/>
    <w:charset w:val="86"/>
    <w:family w:val="auto"/>
    <w:pitch w:val="default"/>
    <w:sig w:usb0="00000001" w:usb1="080E0000" w:usb2="00000000" w:usb3="00000000" w:csb0="00040000" w:csb1="00000000"/>
    <w:embedRegular r:id="rId6" w:fontKey="{02D9C192-DF51-4DA0-8FD3-C8F5A99386EF}"/>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A43">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653D79BA">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2C7E">
    <w:pPr>
      <w:pStyle w:val="1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0BB4D01F">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F65">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7"/>
      <w:lvlText w:val="%1.%2.%3.%4"/>
      <w:lvlJc w:val="left"/>
      <w:pPr>
        <w:tabs>
          <w:tab w:val="left" w:pos="864"/>
        </w:tabs>
        <w:ind w:left="182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mE1MDY1YzNhMmEwMThjOWRjZjM5MDhhMWY4ZDAifQ=="/>
  </w:docVars>
  <w:rsids>
    <w:rsidRoot w:val="00AF053F"/>
    <w:rsid w:val="00003274"/>
    <w:rsid w:val="00021362"/>
    <w:rsid w:val="00021FBC"/>
    <w:rsid w:val="0002390C"/>
    <w:rsid w:val="00031E0A"/>
    <w:rsid w:val="00045BF8"/>
    <w:rsid w:val="00054A5C"/>
    <w:rsid w:val="00056C68"/>
    <w:rsid w:val="00074962"/>
    <w:rsid w:val="00082EAF"/>
    <w:rsid w:val="00091846"/>
    <w:rsid w:val="000D73A3"/>
    <w:rsid w:val="000F2215"/>
    <w:rsid w:val="000F5D34"/>
    <w:rsid w:val="0011451D"/>
    <w:rsid w:val="00122D1B"/>
    <w:rsid w:val="001333F2"/>
    <w:rsid w:val="001347B9"/>
    <w:rsid w:val="00136BE8"/>
    <w:rsid w:val="001474B2"/>
    <w:rsid w:val="00154A64"/>
    <w:rsid w:val="00160630"/>
    <w:rsid w:val="001634C5"/>
    <w:rsid w:val="00163B17"/>
    <w:rsid w:val="001650EC"/>
    <w:rsid w:val="00183A09"/>
    <w:rsid w:val="00192BF1"/>
    <w:rsid w:val="001A216B"/>
    <w:rsid w:val="001A6DC0"/>
    <w:rsid w:val="001B5D9F"/>
    <w:rsid w:val="001C49A5"/>
    <w:rsid w:val="001C6C61"/>
    <w:rsid w:val="001E21E2"/>
    <w:rsid w:val="001F34FC"/>
    <w:rsid w:val="001F4261"/>
    <w:rsid w:val="00201521"/>
    <w:rsid w:val="002026A9"/>
    <w:rsid w:val="00213FDC"/>
    <w:rsid w:val="00214EAD"/>
    <w:rsid w:val="0022719B"/>
    <w:rsid w:val="00274B83"/>
    <w:rsid w:val="00282619"/>
    <w:rsid w:val="00296D4C"/>
    <w:rsid w:val="002A5EA3"/>
    <w:rsid w:val="002D5571"/>
    <w:rsid w:val="002F2DA3"/>
    <w:rsid w:val="00301396"/>
    <w:rsid w:val="003127C0"/>
    <w:rsid w:val="0033768F"/>
    <w:rsid w:val="00346116"/>
    <w:rsid w:val="0034628B"/>
    <w:rsid w:val="0036665C"/>
    <w:rsid w:val="00371A4A"/>
    <w:rsid w:val="00380559"/>
    <w:rsid w:val="003C485F"/>
    <w:rsid w:val="003E2831"/>
    <w:rsid w:val="003F0908"/>
    <w:rsid w:val="00404AF8"/>
    <w:rsid w:val="004215AD"/>
    <w:rsid w:val="00425F51"/>
    <w:rsid w:val="00432A9A"/>
    <w:rsid w:val="00436263"/>
    <w:rsid w:val="00464807"/>
    <w:rsid w:val="00470D3B"/>
    <w:rsid w:val="00472846"/>
    <w:rsid w:val="00475216"/>
    <w:rsid w:val="00483DDE"/>
    <w:rsid w:val="00491717"/>
    <w:rsid w:val="00494DEC"/>
    <w:rsid w:val="004A1676"/>
    <w:rsid w:val="004A2F33"/>
    <w:rsid w:val="004A60D1"/>
    <w:rsid w:val="004A6444"/>
    <w:rsid w:val="004B7302"/>
    <w:rsid w:val="004C2165"/>
    <w:rsid w:val="004C6D1B"/>
    <w:rsid w:val="004E5BEA"/>
    <w:rsid w:val="004E6395"/>
    <w:rsid w:val="004F6867"/>
    <w:rsid w:val="00505DBB"/>
    <w:rsid w:val="00520CCB"/>
    <w:rsid w:val="005270F7"/>
    <w:rsid w:val="00530BA8"/>
    <w:rsid w:val="00531973"/>
    <w:rsid w:val="00533CF2"/>
    <w:rsid w:val="0054144B"/>
    <w:rsid w:val="005440F5"/>
    <w:rsid w:val="00593E26"/>
    <w:rsid w:val="005C2FC7"/>
    <w:rsid w:val="005C7EF3"/>
    <w:rsid w:val="005D2FDF"/>
    <w:rsid w:val="005D7163"/>
    <w:rsid w:val="005F62C1"/>
    <w:rsid w:val="005F64A1"/>
    <w:rsid w:val="005F73A9"/>
    <w:rsid w:val="006010AE"/>
    <w:rsid w:val="0060779C"/>
    <w:rsid w:val="00612DDC"/>
    <w:rsid w:val="00616CBB"/>
    <w:rsid w:val="00622E0D"/>
    <w:rsid w:val="006304AF"/>
    <w:rsid w:val="00637F92"/>
    <w:rsid w:val="0064265F"/>
    <w:rsid w:val="0065502D"/>
    <w:rsid w:val="00666E18"/>
    <w:rsid w:val="0067551B"/>
    <w:rsid w:val="006809F5"/>
    <w:rsid w:val="00684E43"/>
    <w:rsid w:val="006A1330"/>
    <w:rsid w:val="006B5784"/>
    <w:rsid w:val="006C5A07"/>
    <w:rsid w:val="006D1AC8"/>
    <w:rsid w:val="006E2A69"/>
    <w:rsid w:val="006E39BB"/>
    <w:rsid w:val="006F0085"/>
    <w:rsid w:val="006F0E86"/>
    <w:rsid w:val="006F1608"/>
    <w:rsid w:val="006F342D"/>
    <w:rsid w:val="0070330A"/>
    <w:rsid w:val="00724E5E"/>
    <w:rsid w:val="00737738"/>
    <w:rsid w:val="0074016A"/>
    <w:rsid w:val="00787B93"/>
    <w:rsid w:val="007A370E"/>
    <w:rsid w:val="007B75D2"/>
    <w:rsid w:val="007C7990"/>
    <w:rsid w:val="007C7A61"/>
    <w:rsid w:val="007F2825"/>
    <w:rsid w:val="007F28BE"/>
    <w:rsid w:val="008028DD"/>
    <w:rsid w:val="00803326"/>
    <w:rsid w:val="00804CC3"/>
    <w:rsid w:val="00807B51"/>
    <w:rsid w:val="008157A0"/>
    <w:rsid w:val="00816E61"/>
    <w:rsid w:val="008178BB"/>
    <w:rsid w:val="00827AC7"/>
    <w:rsid w:val="00861EB4"/>
    <w:rsid w:val="008658DC"/>
    <w:rsid w:val="00865934"/>
    <w:rsid w:val="008660E3"/>
    <w:rsid w:val="00871BCC"/>
    <w:rsid w:val="0087217E"/>
    <w:rsid w:val="00890040"/>
    <w:rsid w:val="0089431C"/>
    <w:rsid w:val="008A05AF"/>
    <w:rsid w:val="008A23ED"/>
    <w:rsid w:val="008B450C"/>
    <w:rsid w:val="008C2CEF"/>
    <w:rsid w:val="008C4AAA"/>
    <w:rsid w:val="008D0EAB"/>
    <w:rsid w:val="008D40F5"/>
    <w:rsid w:val="008D4750"/>
    <w:rsid w:val="00905106"/>
    <w:rsid w:val="009122B6"/>
    <w:rsid w:val="009140B9"/>
    <w:rsid w:val="009179A0"/>
    <w:rsid w:val="00922B0A"/>
    <w:rsid w:val="009321B6"/>
    <w:rsid w:val="00935111"/>
    <w:rsid w:val="0095106B"/>
    <w:rsid w:val="00953D9C"/>
    <w:rsid w:val="009551C4"/>
    <w:rsid w:val="00956A9B"/>
    <w:rsid w:val="0096528E"/>
    <w:rsid w:val="009A33A0"/>
    <w:rsid w:val="009C42E6"/>
    <w:rsid w:val="009C7968"/>
    <w:rsid w:val="009E2C4C"/>
    <w:rsid w:val="009F7F06"/>
    <w:rsid w:val="00A33DE7"/>
    <w:rsid w:val="00A43CA2"/>
    <w:rsid w:val="00A66123"/>
    <w:rsid w:val="00A670E0"/>
    <w:rsid w:val="00A70F31"/>
    <w:rsid w:val="00AA137A"/>
    <w:rsid w:val="00AA746B"/>
    <w:rsid w:val="00AB5EB8"/>
    <w:rsid w:val="00AC0D5E"/>
    <w:rsid w:val="00AE3ED4"/>
    <w:rsid w:val="00AE5FD0"/>
    <w:rsid w:val="00AF053F"/>
    <w:rsid w:val="00B04DF8"/>
    <w:rsid w:val="00B124F3"/>
    <w:rsid w:val="00B27BCF"/>
    <w:rsid w:val="00B416F5"/>
    <w:rsid w:val="00B43DCC"/>
    <w:rsid w:val="00B52F37"/>
    <w:rsid w:val="00B5429F"/>
    <w:rsid w:val="00B55668"/>
    <w:rsid w:val="00B769D3"/>
    <w:rsid w:val="00B91FA2"/>
    <w:rsid w:val="00B93288"/>
    <w:rsid w:val="00BB638F"/>
    <w:rsid w:val="00BB7E8A"/>
    <w:rsid w:val="00BC3C73"/>
    <w:rsid w:val="00BD210B"/>
    <w:rsid w:val="00BE4A81"/>
    <w:rsid w:val="00BE6780"/>
    <w:rsid w:val="00BF6C1F"/>
    <w:rsid w:val="00C078EB"/>
    <w:rsid w:val="00C122A7"/>
    <w:rsid w:val="00C40B98"/>
    <w:rsid w:val="00C4630F"/>
    <w:rsid w:val="00C47A3E"/>
    <w:rsid w:val="00C63AF1"/>
    <w:rsid w:val="00C67287"/>
    <w:rsid w:val="00C70A20"/>
    <w:rsid w:val="00C73365"/>
    <w:rsid w:val="00C77BFF"/>
    <w:rsid w:val="00C8515D"/>
    <w:rsid w:val="00C9568D"/>
    <w:rsid w:val="00CA1332"/>
    <w:rsid w:val="00CA1592"/>
    <w:rsid w:val="00CB53C1"/>
    <w:rsid w:val="00CC0AE0"/>
    <w:rsid w:val="00CC1350"/>
    <w:rsid w:val="00CC43AE"/>
    <w:rsid w:val="00CD6A53"/>
    <w:rsid w:val="00CE4ABE"/>
    <w:rsid w:val="00D033CA"/>
    <w:rsid w:val="00D05AC5"/>
    <w:rsid w:val="00D22410"/>
    <w:rsid w:val="00D24BB3"/>
    <w:rsid w:val="00D36144"/>
    <w:rsid w:val="00D475BD"/>
    <w:rsid w:val="00D71ECE"/>
    <w:rsid w:val="00D73F26"/>
    <w:rsid w:val="00D762AD"/>
    <w:rsid w:val="00D76F67"/>
    <w:rsid w:val="00D838A9"/>
    <w:rsid w:val="00D874FD"/>
    <w:rsid w:val="00D87F13"/>
    <w:rsid w:val="00DA1C92"/>
    <w:rsid w:val="00DA7915"/>
    <w:rsid w:val="00DB1A5A"/>
    <w:rsid w:val="00DB1BFD"/>
    <w:rsid w:val="00DB4E5F"/>
    <w:rsid w:val="00DD1ACD"/>
    <w:rsid w:val="00DD42BF"/>
    <w:rsid w:val="00DE4AF5"/>
    <w:rsid w:val="00DF52E5"/>
    <w:rsid w:val="00E01995"/>
    <w:rsid w:val="00E07856"/>
    <w:rsid w:val="00E27970"/>
    <w:rsid w:val="00E3638F"/>
    <w:rsid w:val="00E64DE7"/>
    <w:rsid w:val="00E70843"/>
    <w:rsid w:val="00E85545"/>
    <w:rsid w:val="00EC359C"/>
    <w:rsid w:val="00ED247A"/>
    <w:rsid w:val="00ED2F49"/>
    <w:rsid w:val="00ED4130"/>
    <w:rsid w:val="00ED4DF7"/>
    <w:rsid w:val="00EE56BE"/>
    <w:rsid w:val="00F23576"/>
    <w:rsid w:val="00F24716"/>
    <w:rsid w:val="00F251A7"/>
    <w:rsid w:val="00F34FCE"/>
    <w:rsid w:val="00F42BA1"/>
    <w:rsid w:val="00F467C1"/>
    <w:rsid w:val="00F509BE"/>
    <w:rsid w:val="00F53152"/>
    <w:rsid w:val="00F63FFF"/>
    <w:rsid w:val="00F700DC"/>
    <w:rsid w:val="00F7233C"/>
    <w:rsid w:val="00F736AF"/>
    <w:rsid w:val="00F76DED"/>
    <w:rsid w:val="00F7761A"/>
    <w:rsid w:val="00F845F4"/>
    <w:rsid w:val="00FD2A01"/>
    <w:rsid w:val="00FD309C"/>
    <w:rsid w:val="01B42482"/>
    <w:rsid w:val="01E55632"/>
    <w:rsid w:val="01EF4280"/>
    <w:rsid w:val="0227136C"/>
    <w:rsid w:val="02610E76"/>
    <w:rsid w:val="02715749"/>
    <w:rsid w:val="02793A3D"/>
    <w:rsid w:val="0280057E"/>
    <w:rsid w:val="028B36A9"/>
    <w:rsid w:val="0290692D"/>
    <w:rsid w:val="03430D8C"/>
    <w:rsid w:val="03E2554B"/>
    <w:rsid w:val="03E5406C"/>
    <w:rsid w:val="03EC254E"/>
    <w:rsid w:val="04055C37"/>
    <w:rsid w:val="042C2175"/>
    <w:rsid w:val="047B2B3A"/>
    <w:rsid w:val="04AE5EFE"/>
    <w:rsid w:val="04DA3078"/>
    <w:rsid w:val="04DC5239"/>
    <w:rsid w:val="04F62044"/>
    <w:rsid w:val="051554AC"/>
    <w:rsid w:val="053C0C8A"/>
    <w:rsid w:val="05425958"/>
    <w:rsid w:val="05481648"/>
    <w:rsid w:val="054933A7"/>
    <w:rsid w:val="05C942DC"/>
    <w:rsid w:val="05DA66C4"/>
    <w:rsid w:val="0644429B"/>
    <w:rsid w:val="064454F4"/>
    <w:rsid w:val="06636895"/>
    <w:rsid w:val="06F44CEC"/>
    <w:rsid w:val="071B449F"/>
    <w:rsid w:val="077A5BE0"/>
    <w:rsid w:val="07964648"/>
    <w:rsid w:val="07AA7AB3"/>
    <w:rsid w:val="07E5579C"/>
    <w:rsid w:val="07EC46BD"/>
    <w:rsid w:val="07F14C8B"/>
    <w:rsid w:val="07F810BC"/>
    <w:rsid w:val="0830406B"/>
    <w:rsid w:val="087A6CF5"/>
    <w:rsid w:val="087B5E32"/>
    <w:rsid w:val="08A94889"/>
    <w:rsid w:val="090D684D"/>
    <w:rsid w:val="0948135F"/>
    <w:rsid w:val="09B01C47"/>
    <w:rsid w:val="0AB90FAC"/>
    <w:rsid w:val="0AE53B72"/>
    <w:rsid w:val="0B1A0D0C"/>
    <w:rsid w:val="0B207909"/>
    <w:rsid w:val="0B5875F7"/>
    <w:rsid w:val="0B9032AF"/>
    <w:rsid w:val="0B9720B7"/>
    <w:rsid w:val="0B9B03B4"/>
    <w:rsid w:val="0BA4235C"/>
    <w:rsid w:val="0BAD4690"/>
    <w:rsid w:val="0BFB586C"/>
    <w:rsid w:val="0C0138B7"/>
    <w:rsid w:val="0C2159A2"/>
    <w:rsid w:val="0C4B5C57"/>
    <w:rsid w:val="0C5D7542"/>
    <w:rsid w:val="0C782BCC"/>
    <w:rsid w:val="0CB21420"/>
    <w:rsid w:val="0CBD0903"/>
    <w:rsid w:val="0D244E26"/>
    <w:rsid w:val="0D442DD2"/>
    <w:rsid w:val="0D7A12F9"/>
    <w:rsid w:val="0D7D7B73"/>
    <w:rsid w:val="0D8647CF"/>
    <w:rsid w:val="0E1C43D0"/>
    <w:rsid w:val="0E431A34"/>
    <w:rsid w:val="0E682AF0"/>
    <w:rsid w:val="0E6F20D1"/>
    <w:rsid w:val="0E952CFB"/>
    <w:rsid w:val="0E963B01"/>
    <w:rsid w:val="0EC957CF"/>
    <w:rsid w:val="0F1A55BF"/>
    <w:rsid w:val="0F29227F"/>
    <w:rsid w:val="0F6C3997"/>
    <w:rsid w:val="0F713D1C"/>
    <w:rsid w:val="0F77629F"/>
    <w:rsid w:val="0FBF4992"/>
    <w:rsid w:val="0FEF2407"/>
    <w:rsid w:val="0FF52C8D"/>
    <w:rsid w:val="100247AF"/>
    <w:rsid w:val="10806E18"/>
    <w:rsid w:val="10956460"/>
    <w:rsid w:val="10DF1FE4"/>
    <w:rsid w:val="113F606E"/>
    <w:rsid w:val="116B021B"/>
    <w:rsid w:val="11805741"/>
    <w:rsid w:val="11BA49AD"/>
    <w:rsid w:val="11BD7734"/>
    <w:rsid w:val="11F1104F"/>
    <w:rsid w:val="11F15E0B"/>
    <w:rsid w:val="11F735B0"/>
    <w:rsid w:val="123F1DBA"/>
    <w:rsid w:val="128444EB"/>
    <w:rsid w:val="12F3794D"/>
    <w:rsid w:val="133D6ECA"/>
    <w:rsid w:val="1343194A"/>
    <w:rsid w:val="13500BF4"/>
    <w:rsid w:val="13B366E1"/>
    <w:rsid w:val="13C54C72"/>
    <w:rsid w:val="13F32CFC"/>
    <w:rsid w:val="14013202"/>
    <w:rsid w:val="1495254B"/>
    <w:rsid w:val="14EF619F"/>
    <w:rsid w:val="153B1EEF"/>
    <w:rsid w:val="155E3DE6"/>
    <w:rsid w:val="157860BB"/>
    <w:rsid w:val="15883A78"/>
    <w:rsid w:val="16350914"/>
    <w:rsid w:val="16461969"/>
    <w:rsid w:val="169721C5"/>
    <w:rsid w:val="16A32810"/>
    <w:rsid w:val="16CB6A06"/>
    <w:rsid w:val="16E64A64"/>
    <w:rsid w:val="16F62275"/>
    <w:rsid w:val="17464C31"/>
    <w:rsid w:val="177B4357"/>
    <w:rsid w:val="17841F13"/>
    <w:rsid w:val="17AD2254"/>
    <w:rsid w:val="17D11706"/>
    <w:rsid w:val="17D65BAB"/>
    <w:rsid w:val="1816734B"/>
    <w:rsid w:val="1831495E"/>
    <w:rsid w:val="184E38EE"/>
    <w:rsid w:val="18595380"/>
    <w:rsid w:val="187E0711"/>
    <w:rsid w:val="193747D9"/>
    <w:rsid w:val="197F0E32"/>
    <w:rsid w:val="1991739F"/>
    <w:rsid w:val="19BE654B"/>
    <w:rsid w:val="19DE635C"/>
    <w:rsid w:val="1A954C6D"/>
    <w:rsid w:val="1AAA63EA"/>
    <w:rsid w:val="1AB9295D"/>
    <w:rsid w:val="1AD06898"/>
    <w:rsid w:val="1BCF75E0"/>
    <w:rsid w:val="1BDB2B53"/>
    <w:rsid w:val="1BE16C4A"/>
    <w:rsid w:val="1C177CDF"/>
    <w:rsid w:val="1C1C4F1A"/>
    <w:rsid w:val="1C240FD6"/>
    <w:rsid w:val="1C9045A6"/>
    <w:rsid w:val="1CC23D13"/>
    <w:rsid w:val="1CCA6DAE"/>
    <w:rsid w:val="1D047E88"/>
    <w:rsid w:val="1D21690A"/>
    <w:rsid w:val="1D3C15D5"/>
    <w:rsid w:val="1D5F4C23"/>
    <w:rsid w:val="1D8079A9"/>
    <w:rsid w:val="1DE81558"/>
    <w:rsid w:val="1E37428D"/>
    <w:rsid w:val="1E3C31F0"/>
    <w:rsid w:val="1E647589"/>
    <w:rsid w:val="1EC702EA"/>
    <w:rsid w:val="1EF767C5"/>
    <w:rsid w:val="1F0979D8"/>
    <w:rsid w:val="1F2E492C"/>
    <w:rsid w:val="1F666B54"/>
    <w:rsid w:val="1FC60199"/>
    <w:rsid w:val="1FDD203C"/>
    <w:rsid w:val="205C2E59"/>
    <w:rsid w:val="205F12B0"/>
    <w:rsid w:val="20C302A5"/>
    <w:rsid w:val="211A28A6"/>
    <w:rsid w:val="215722A9"/>
    <w:rsid w:val="21EC558C"/>
    <w:rsid w:val="21FB1EC7"/>
    <w:rsid w:val="21FE3C72"/>
    <w:rsid w:val="220F7C12"/>
    <w:rsid w:val="221A63C7"/>
    <w:rsid w:val="22257339"/>
    <w:rsid w:val="228627E4"/>
    <w:rsid w:val="229121BE"/>
    <w:rsid w:val="22A25A46"/>
    <w:rsid w:val="22C12814"/>
    <w:rsid w:val="23283FDF"/>
    <w:rsid w:val="23D27E21"/>
    <w:rsid w:val="23D64EFC"/>
    <w:rsid w:val="23E53A91"/>
    <w:rsid w:val="240F5826"/>
    <w:rsid w:val="243110EE"/>
    <w:rsid w:val="24D15DD9"/>
    <w:rsid w:val="24E85698"/>
    <w:rsid w:val="250C44AD"/>
    <w:rsid w:val="25283A75"/>
    <w:rsid w:val="2543433B"/>
    <w:rsid w:val="25741171"/>
    <w:rsid w:val="25FB41E1"/>
    <w:rsid w:val="272202D4"/>
    <w:rsid w:val="27871DC5"/>
    <w:rsid w:val="27A630A9"/>
    <w:rsid w:val="27A677E8"/>
    <w:rsid w:val="27D7658E"/>
    <w:rsid w:val="27DD2553"/>
    <w:rsid w:val="27EB72DA"/>
    <w:rsid w:val="27F154AD"/>
    <w:rsid w:val="281963E4"/>
    <w:rsid w:val="281A36C8"/>
    <w:rsid w:val="281F201A"/>
    <w:rsid w:val="28674CE7"/>
    <w:rsid w:val="289247BF"/>
    <w:rsid w:val="28971329"/>
    <w:rsid w:val="28983B15"/>
    <w:rsid w:val="28B316E0"/>
    <w:rsid w:val="292A511A"/>
    <w:rsid w:val="29430BA2"/>
    <w:rsid w:val="295B60F3"/>
    <w:rsid w:val="295F0BBE"/>
    <w:rsid w:val="297D4623"/>
    <w:rsid w:val="299C6801"/>
    <w:rsid w:val="29F221D6"/>
    <w:rsid w:val="29FB51F9"/>
    <w:rsid w:val="2A1C68A5"/>
    <w:rsid w:val="2ACD6F90"/>
    <w:rsid w:val="2AEE43AD"/>
    <w:rsid w:val="2AEF139C"/>
    <w:rsid w:val="2AF753BF"/>
    <w:rsid w:val="2B14448A"/>
    <w:rsid w:val="2B5621F6"/>
    <w:rsid w:val="2BC25193"/>
    <w:rsid w:val="2BF12A02"/>
    <w:rsid w:val="2C7E07E0"/>
    <w:rsid w:val="2C865DB3"/>
    <w:rsid w:val="2CF9317E"/>
    <w:rsid w:val="2D040B7E"/>
    <w:rsid w:val="2D086C14"/>
    <w:rsid w:val="2D3E7E99"/>
    <w:rsid w:val="2D891F92"/>
    <w:rsid w:val="2DE818AD"/>
    <w:rsid w:val="2DF24F65"/>
    <w:rsid w:val="2DF82535"/>
    <w:rsid w:val="2E052911"/>
    <w:rsid w:val="2E6C3AB8"/>
    <w:rsid w:val="2ECB69A3"/>
    <w:rsid w:val="2EE67593"/>
    <w:rsid w:val="2EE86FA1"/>
    <w:rsid w:val="2EF035FA"/>
    <w:rsid w:val="2F103808"/>
    <w:rsid w:val="2F194CF3"/>
    <w:rsid w:val="2F3F11F4"/>
    <w:rsid w:val="2F5E78CC"/>
    <w:rsid w:val="2F6F3184"/>
    <w:rsid w:val="2F9227D6"/>
    <w:rsid w:val="2FB71B5D"/>
    <w:rsid w:val="2FC83556"/>
    <w:rsid w:val="2FCA6D0F"/>
    <w:rsid w:val="3068624C"/>
    <w:rsid w:val="30E753F9"/>
    <w:rsid w:val="30F518CE"/>
    <w:rsid w:val="310D0BE5"/>
    <w:rsid w:val="310E0717"/>
    <w:rsid w:val="3117314F"/>
    <w:rsid w:val="31304EDE"/>
    <w:rsid w:val="31494D43"/>
    <w:rsid w:val="31761AC6"/>
    <w:rsid w:val="31774C75"/>
    <w:rsid w:val="318F7D13"/>
    <w:rsid w:val="3194640B"/>
    <w:rsid w:val="31A57BFF"/>
    <w:rsid w:val="31B06272"/>
    <w:rsid w:val="32400D81"/>
    <w:rsid w:val="327F1AF6"/>
    <w:rsid w:val="329A04B8"/>
    <w:rsid w:val="32DD63C8"/>
    <w:rsid w:val="32F14A78"/>
    <w:rsid w:val="331F7372"/>
    <w:rsid w:val="33415F47"/>
    <w:rsid w:val="33615B7E"/>
    <w:rsid w:val="336321F8"/>
    <w:rsid w:val="33731FC9"/>
    <w:rsid w:val="338D0C1D"/>
    <w:rsid w:val="33A63196"/>
    <w:rsid w:val="33B4304E"/>
    <w:rsid w:val="3469200E"/>
    <w:rsid w:val="34F94195"/>
    <w:rsid w:val="357905DD"/>
    <w:rsid w:val="358F4CD9"/>
    <w:rsid w:val="35AB1391"/>
    <w:rsid w:val="35C4470F"/>
    <w:rsid w:val="35C661CB"/>
    <w:rsid w:val="36502C6A"/>
    <w:rsid w:val="366B6AAE"/>
    <w:rsid w:val="3699492B"/>
    <w:rsid w:val="369E498F"/>
    <w:rsid w:val="36B03D7F"/>
    <w:rsid w:val="370F5CF1"/>
    <w:rsid w:val="3717497C"/>
    <w:rsid w:val="37193A02"/>
    <w:rsid w:val="371F2CC4"/>
    <w:rsid w:val="372238D5"/>
    <w:rsid w:val="373D0337"/>
    <w:rsid w:val="37750D92"/>
    <w:rsid w:val="378617DA"/>
    <w:rsid w:val="381A7A6E"/>
    <w:rsid w:val="384F0CD1"/>
    <w:rsid w:val="386165B7"/>
    <w:rsid w:val="38B26EBB"/>
    <w:rsid w:val="39233224"/>
    <w:rsid w:val="39305366"/>
    <w:rsid w:val="39EB51A8"/>
    <w:rsid w:val="3A14413D"/>
    <w:rsid w:val="3A2C7681"/>
    <w:rsid w:val="3A67083F"/>
    <w:rsid w:val="3AAC163F"/>
    <w:rsid w:val="3AB205C2"/>
    <w:rsid w:val="3B29751D"/>
    <w:rsid w:val="3BA439DE"/>
    <w:rsid w:val="3BF62540"/>
    <w:rsid w:val="3C3420E0"/>
    <w:rsid w:val="3C696509"/>
    <w:rsid w:val="3CCB41A4"/>
    <w:rsid w:val="3CE61756"/>
    <w:rsid w:val="3D0819E5"/>
    <w:rsid w:val="3D3C482E"/>
    <w:rsid w:val="3D762284"/>
    <w:rsid w:val="3DAA4C63"/>
    <w:rsid w:val="3DD20930"/>
    <w:rsid w:val="3E05462F"/>
    <w:rsid w:val="3EFA6CDE"/>
    <w:rsid w:val="3F0832D4"/>
    <w:rsid w:val="3F0E6EB2"/>
    <w:rsid w:val="3F3D1555"/>
    <w:rsid w:val="3F4D5267"/>
    <w:rsid w:val="3F627F8C"/>
    <w:rsid w:val="40077F79"/>
    <w:rsid w:val="4030441F"/>
    <w:rsid w:val="40337739"/>
    <w:rsid w:val="403B7A69"/>
    <w:rsid w:val="409A6309"/>
    <w:rsid w:val="40A610D2"/>
    <w:rsid w:val="40B0516F"/>
    <w:rsid w:val="40D7128C"/>
    <w:rsid w:val="40E73432"/>
    <w:rsid w:val="415F6F07"/>
    <w:rsid w:val="41EC558E"/>
    <w:rsid w:val="41EF2605"/>
    <w:rsid w:val="41FA16A1"/>
    <w:rsid w:val="42205B5A"/>
    <w:rsid w:val="42262648"/>
    <w:rsid w:val="422B70E3"/>
    <w:rsid w:val="42BB1D2E"/>
    <w:rsid w:val="432D56EA"/>
    <w:rsid w:val="439A360B"/>
    <w:rsid w:val="43A00E80"/>
    <w:rsid w:val="442E1CE5"/>
    <w:rsid w:val="44347BDB"/>
    <w:rsid w:val="443C31F9"/>
    <w:rsid w:val="445B453A"/>
    <w:rsid w:val="44C730D2"/>
    <w:rsid w:val="44D2041B"/>
    <w:rsid w:val="44FC0813"/>
    <w:rsid w:val="455455A1"/>
    <w:rsid w:val="45DE1013"/>
    <w:rsid w:val="45E16709"/>
    <w:rsid w:val="46162BE9"/>
    <w:rsid w:val="462C0D52"/>
    <w:rsid w:val="46614E62"/>
    <w:rsid w:val="46C816AD"/>
    <w:rsid w:val="471F55B4"/>
    <w:rsid w:val="47703783"/>
    <w:rsid w:val="47777520"/>
    <w:rsid w:val="4799304B"/>
    <w:rsid w:val="47EA4B10"/>
    <w:rsid w:val="48912890"/>
    <w:rsid w:val="48943661"/>
    <w:rsid w:val="48DB4771"/>
    <w:rsid w:val="48DE14AE"/>
    <w:rsid w:val="48ED63DD"/>
    <w:rsid w:val="490746D8"/>
    <w:rsid w:val="491A533F"/>
    <w:rsid w:val="495711BC"/>
    <w:rsid w:val="497679B3"/>
    <w:rsid w:val="49955CB0"/>
    <w:rsid w:val="49A308A5"/>
    <w:rsid w:val="4A026967"/>
    <w:rsid w:val="4A3B288C"/>
    <w:rsid w:val="4A40755C"/>
    <w:rsid w:val="4A5255BA"/>
    <w:rsid w:val="4ABA1153"/>
    <w:rsid w:val="4AC828C3"/>
    <w:rsid w:val="4AD05F9F"/>
    <w:rsid w:val="4B0610EB"/>
    <w:rsid w:val="4B2A1498"/>
    <w:rsid w:val="4B391B4B"/>
    <w:rsid w:val="4B391DA2"/>
    <w:rsid w:val="4B643186"/>
    <w:rsid w:val="4B8D4AF3"/>
    <w:rsid w:val="4B92472D"/>
    <w:rsid w:val="4BEC5F45"/>
    <w:rsid w:val="4C001999"/>
    <w:rsid w:val="4C042152"/>
    <w:rsid w:val="4C3E7D70"/>
    <w:rsid w:val="4C8609A4"/>
    <w:rsid w:val="4C9E05BD"/>
    <w:rsid w:val="4CCE1054"/>
    <w:rsid w:val="4CEF202A"/>
    <w:rsid w:val="4CF42992"/>
    <w:rsid w:val="4DB46D3B"/>
    <w:rsid w:val="4E6D46B7"/>
    <w:rsid w:val="4EB065CA"/>
    <w:rsid w:val="4EB1136E"/>
    <w:rsid w:val="4EB241D3"/>
    <w:rsid w:val="4F4976BB"/>
    <w:rsid w:val="4F561CEE"/>
    <w:rsid w:val="4F5B5FD8"/>
    <w:rsid w:val="4F5C1BF6"/>
    <w:rsid w:val="4F830800"/>
    <w:rsid w:val="4FA37A7D"/>
    <w:rsid w:val="4FAA2036"/>
    <w:rsid w:val="4FC57000"/>
    <w:rsid w:val="4FE75A5F"/>
    <w:rsid w:val="4FF36806"/>
    <w:rsid w:val="50094EDC"/>
    <w:rsid w:val="503E4383"/>
    <w:rsid w:val="509154C1"/>
    <w:rsid w:val="50DB0924"/>
    <w:rsid w:val="513F4E42"/>
    <w:rsid w:val="51453A50"/>
    <w:rsid w:val="514A644B"/>
    <w:rsid w:val="51616F11"/>
    <w:rsid w:val="51BF1317"/>
    <w:rsid w:val="51E324CE"/>
    <w:rsid w:val="521A0311"/>
    <w:rsid w:val="52256087"/>
    <w:rsid w:val="5250758C"/>
    <w:rsid w:val="52792952"/>
    <w:rsid w:val="52965BFE"/>
    <w:rsid w:val="52A114F4"/>
    <w:rsid w:val="52AB4326"/>
    <w:rsid w:val="52C55DA9"/>
    <w:rsid w:val="52C65884"/>
    <w:rsid w:val="52CA7C3B"/>
    <w:rsid w:val="52FB2D4C"/>
    <w:rsid w:val="531E39F9"/>
    <w:rsid w:val="53314E6B"/>
    <w:rsid w:val="535B675C"/>
    <w:rsid w:val="536417C2"/>
    <w:rsid w:val="536A791B"/>
    <w:rsid w:val="537126E4"/>
    <w:rsid w:val="53B65C79"/>
    <w:rsid w:val="53D77659"/>
    <w:rsid w:val="53F653D1"/>
    <w:rsid w:val="54116425"/>
    <w:rsid w:val="54216F96"/>
    <w:rsid w:val="54AD7EF7"/>
    <w:rsid w:val="54CA4065"/>
    <w:rsid w:val="54D04938"/>
    <w:rsid w:val="54E3662D"/>
    <w:rsid w:val="54F55D2D"/>
    <w:rsid w:val="55392DEA"/>
    <w:rsid w:val="55580697"/>
    <w:rsid w:val="55607403"/>
    <w:rsid w:val="55BC5D1E"/>
    <w:rsid w:val="55BD5562"/>
    <w:rsid w:val="562E717A"/>
    <w:rsid w:val="56314D84"/>
    <w:rsid w:val="564B6187"/>
    <w:rsid w:val="56CC14CD"/>
    <w:rsid w:val="56F273D9"/>
    <w:rsid w:val="576D009B"/>
    <w:rsid w:val="57F347A6"/>
    <w:rsid w:val="5850651E"/>
    <w:rsid w:val="585A4825"/>
    <w:rsid w:val="58660E70"/>
    <w:rsid w:val="58705C2B"/>
    <w:rsid w:val="58900246"/>
    <w:rsid w:val="58A81A34"/>
    <w:rsid w:val="593660E9"/>
    <w:rsid w:val="595D3D97"/>
    <w:rsid w:val="59AC4C8A"/>
    <w:rsid w:val="59D17BED"/>
    <w:rsid w:val="5A223F52"/>
    <w:rsid w:val="5A2E57E0"/>
    <w:rsid w:val="5A2F0E8B"/>
    <w:rsid w:val="5A9C25C4"/>
    <w:rsid w:val="5ACA5CCE"/>
    <w:rsid w:val="5AEB198C"/>
    <w:rsid w:val="5B2B235C"/>
    <w:rsid w:val="5B2B24A8"/>
    <w:rsid w:val="5B375B9B"/>
    <w:rsid w:val="5BAC35E9"/>
    <w:rsid w:val="5BE9723E"/>
    <w:rsid w:val="5C03352E"/>
    <w:rsid w:val="5C7E0A15"/>
    <w:rsid w:val="5CD63510"/>
    <w:rsid w:val="5CF75DBB"/>
    <w:rsid w:val="5DDA6402"/>
    <w:rsid w:val="5E115985"/>
    <w:rsid w:val="5E266350"/>
    <w:rsid w:val="5E3C677A"/>
    <w:rsid w:val="5E411761"/>
    <w:rsid w:val="5E497694"/>
    <w:rsid w:val="5E9A270F"/>
    <w:rsid w:val="5EBF39C8"/>
    <w:rsid w:val="5EC22455"/>
    <w:rsid w:val="5EDD69C4"/>
    <w:rsid w:val="5F095C69"/>
    <w:rsid w:val="5F107CE1"/>
    <w:rsid w:val="5F1E698F"/>
    <w:rsid w:val="5F360D64"/>
    <w:rsid w:val="5F741493"/>
    <w:rsid w:val="5F8567C0"/>
    <w:rsid w:val="5FA06307"/>
    <w:rsid w:val="5FA96A4F"/>
    <w:rsid w:val="60107F5B"/>
    <w:rsid w:val="601D6864"/>
    <w:rsid w:val="607A2BDB"/>
    <w:rsid w:val="60B3797D"/>
    <w:rsid w:val="60D4478D"/>
    <w:rsid w:val="60D55146"/>
    <w:rsid w:val="60EE3804"/>
    <w:rsid w:val="60F826E8"/>
    <w:rsid w:val="61300818"/>
    <w:rsid w:val="616C33EB"/>
    <w:rsid w:val="619C2DFB"/>
    <w:rsid w:val="61B41B2B"/>
    <w:rsid w:val="61B50295"/>
    <w:rsid w:val="61C30A64"/>
    <w:rsid w:val="62644ACA"/>
    <w:rsid w:val="62A40404"/>
    <w:rsid w:val="62EF5E90"/>
    <w:rsid w:val="62FA4A7E"/>
    <w:rsid w:val="632978E4"/>
    <w:rsid w:val="63EC0CD0"/>
    <w:rsid w:val="64524ACE"/>
    <w:rsid w:val="64815B29"/>
    <w:rsid w:val="64EF017A"/>
    <w:rsid w:val="64FB1513"/>
    <w:rsid w:val="651B477E"/>
    <w:rsid w:val="65331DAC"/>
    <w:rsid w:val="6546655F"/>
    <w:rsid w:val="655C68E9"/>
    <w:rsid w:val="657538DE"/>
    <w:rsid w:val="657A4758"/>
    <w:rsid w:val="65B23EF2"/>
    <w:rsid w:val="65BB267B"/>
    <w:rsid w:val="66292B35"/>
    <w:rsid w:val="663468E7"/>
    <w:rsid w:val="666C6C0C"/>
    <w:rsid w:val="66734390"/>
    <w:rsid w:val="668A0872"/>
    <w:rsid w:val="66D67194"/>
    <w:rsid w:val="66D9761E"/>
    <w:rsid w:val="66FB5603"/>
    <w:rsid w:val="674A48FB"/>
    <w:rsid w:val="67902232"/>
    <w:rsid w:val="679C1682"/>
    <w:rsid w:val="6811597C"/>
    <w:rsid w:val="69393A8B"/>
    <w:rsid w:val="693E18D1"/>
    <w:rsid w:val="695B5CB5"/>
    <w:rsid w:val="695E728F"/>
    <w:rsid w:val="699B4F1F"/>
    <w:rsid w:val="69C53AC8"/>
    <w:rsid w:val="69CF540A"/>
    <w:rsid w:val="6A3B4875"/>
    <w:rsid w:val="6A4D600B"/>
    <w:rsid w:val="6A4E7F61"/>
    <w:rsid w:val="6A5B6F14"/>
    <w:rsid w:val="6AD66691"/>
    <w:rsid w:val="6B5A2FD8"/>
    <w:rsid w:val="6B8C2AEF"/>
    <w:rsid w:val="6B8C552A"/>
    <w:rsid w:val="6BB1003D"/>
    <w:rsid w:val="6BCB1B76"/>
    <w:rsid w:val="6BE02E3B"/>
    <w:rsid w:val="6BE57E4B"/>
    <w:rsid w:val="6C131444"/>
    <w:rsid w:val="6C790D93"/>
    <w:rsid w:val="6C990284"/>
    <w:rsid w:val="6CC977B9"/>
    <w:rsid w:val="6CFC5A53"/>
    <w:rsid w:val="6D1C3A45"/>
    <w:rsid w:val="6D20689B"/>
    <w:rsid w:val="6D712BA4"/>
    <w:rsid w:val="6D730D43"/>
    <w:rsid w:val="6DAC1227"/>
    <w:rsid w:val="6E3B6FB5"/>
    <w:rsid w:val="6E453429"/>
    <w:rsid w:val="6E58509F"/>
    <w:rsid w:val="6E5E5529"/>
    <w:rsid w:val="6ED62216"/>
    <w:rsid w:val="6EF00BAB"/>
    <w:rsid w:val="6EF1703A"/>
    <w:rsid w:val="6F1137D3"/>
    <w:rsid w:val="6F733092"/>
    <w:rsid w:val="70223CA8"/>
    <w:rsid w:val="70401259"/>
    <w:rsid w:val="70A64304"/>
    <w:rsid w:val="70C8648D"/>
    <w:rsid w:val="70D96CF7"/>
    <w:rsid w:val="70FA61CC"/>
    <w:rsid w:val="71135148"/>
    <w:rsid w:val="71B66844"/>
    <w:rsid w:val="72281CB7"/>
    <w:rsid w:val="72352DC1"/>
    <w:rsid w:val="727D7636"/>
    <w:rsid w:val="72834168"/>
    <w:rsid w:val="72DA7096"/>
    <w:rsid w:val="72F44408"/>
    <w:rsid w:val="73090C9F"/>
    <w:rsid w:val="735C3CAF"/>
    <w:rsid w:val="73B93DD7"/>
    <w:rsid w:val="744321B9"/>
    <w:rsid w:val="74440888"/>
    <w:rsid w:val="747E4611"/>
    <w:rsid w:val="74AE3AD6"/>
    <w:rsid w:val="74B758D6"/>
    <w:rsid w:val="74CE1156"/>
    <w:rsid w:val="750C4465"/>
    <w:rsid w:val="75477F63"/>
    <w:rsid w:val="75C40F41"/>
    <w:rsid w:val="76BE3413"/>
    <w:rsid w:val="77021BF7"/>
    <w:rsid w:val="7702635B"/>
    <w:rsid w:val="77375BF2"/>
    <w:rsid w:val="774C461A"/>
    <w:rsid w:val="775F6554"/>
    <w:rsid w:val="77902025"/>
    <w:rsid w:val="77A67B4A"/>
    <w:rsid w:val="780D00EB"/>
    <w:rsid w:val="783D54BE"/>
    <w:rsid w:val="784634E7"/>
    <w:rsid w:val="785901FD"/>
    <w:rsid w:val="78597A6C"/>
    <w:rsid w:val="78730747"/>
    <w:rsid w:val="787A6AEA"/>
    <w:rsid w:val="78987DFD"/>
    <w:rsid w:val="78FA098B"/>
    <w:rsid w:val="791A70C2"/>
    <w:rsid w:val="79444A09"/>
    <w:rsid w:val="79490272"/>
    <w:rsid w:val="79886966"/>
    <w:rsid w:val="7A01000A"/>
    <w:rsid w:val="7A581263"/>
    <w:rsid w:val="7A593044"/>
    <w:rsid w:val="7AD721F7"/>
    <w:rsid w:val="7B2D0EF4"/>
    <w:rsid w:val="7B412A6E"/>
    <w:rsid w:val="7B491425"/>
    <w:rsid w:val="7B5D08F9"/>
    <w:rsid w:val="7B620780"/>
    <w:rsid w:val="7BA661AA"/>
    <w:rsid w:val="7BD841A3"/>
    <w:rsid w:val="7BF9384E"/>
    <w:rsid w:val="7BFF5D97"/>
    <w:rsid w:val="7C335C78"/>
    <w:rsid w:val="7C745A82"/>
    <w:rsid w:val="7C8C07B5"/>
    <w:rsid w:val="7CDE33C7"/>
    <w:rsid w:val="7CF90201"/>
    <w:rsid w:val="7D473DD3"/>
    <w:rsid w:val="7D536269"/>
    <w:rsid w:val="7D9C49CE"/>
    <w:rsid w:val="7D9D3F0C"/>
    <w:rsid w:val="7DAE3EC2"/>
    <w:rsid w:val="7DB60B46"/>
    <w:rsid w:val="7E1D68B4"/>
    <w:rsid w:val="7E2E1D9A"/>
    <w:rsid w:val="7E5E2DBE"/>
    <w:rsid w:val="7EA03FAB"/>
    <w:rsid w:val="7EFF60EA"/>
    <w:rsid w:val="7F0A67A3"/>
    <w:rsid w:val="7FB705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等线"/>
      <w:kern w:val="2"/>
      <w:sz w:val="28"/>
      <w:szCs w:val="24"/>
      <w:lang w:val="en-US" w:eastAsia="zh-CN" w:bidi="ar-SA"/>
    </w:rPr>
  </w:style>
  <w:style w:type="paragraph" w:styleId="4">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5"/>
    <w:qFormat/>
    <w:uiPriority w:val="0"/>
    <w:pPr>
      <w:keepNext/>
      <w:ind w:firstLine="241" w:firstLineChars="100"/>
      <w:outlineLvl w:val="1"/>
    </w:pPr>
    <w:rPr>
      <w:b/>
      <w:bCs/>
      <w:sz w:val="24"/>
      <w:szCs w:val="20"/>
    </w:rPr>
  </w:style>
  <w:style w:type="paragraph" w:styleId="6">
    <w:name w:val="heading 3"/>
    <w:basedOn w:val="1"/>
    <w:next w:val="1"/>
    <w:link w:val="3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Cs w:val="28"/>
    </w:rPr>
  </w:style>
  <w:style w:type="character" w:default="1" w:styleId="28">
    <w:name w:val="Default Paragraph Font"/>
    <w:link w:val="29"/>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33"/>
    <w:qFormat/>
    <w:uiPriority w:val="0"/>
    <w:pPr>
      <w:spacing w:after="120"/>
    </w:pPr>
    <w:rPr>
      <w:rFonts w:eastAsia="Times New Roman"/>
    </w:rPr>
  </w:style>
  <w:style w:type="paragraph" w:customStyle="1" w:styleId="3">
    <w:name w:val="Default"/>
    <w:qFormat/>
    <w:uiPriority w:val="0"/>
    <w:pPr>
      <w:widowControl w:val="0"/>
      <w:autoSpaceDE w:val="0"/>
      <w:autoSpaceDN w:val="0"/>
      <w:adjustRightInd w:val="0"/>
    </w:pPr>
    <w:rPr>
      <w:rFonts w:ascii="楷体à.ā" w:hAnsi="等线" w:eastAsia="楷体à.ā" w:cs="等线"/>
      <w:color w:val="000000"/>
      <w:sz w:val="24"/>
      <w:szCs w:val="22"/>
      <w:lang w:val="en-US" w:eastAsia="zh-CN" w:bidi="ar-SA"/>
    </w:rPr>
  </w:style>
  <w:style w:type="paragraph" w:styleId="8">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9">
    <w:name w:val="Normal Indent"/>
    <w:basedOn w:val="1"/>
    <w:unhideWhenUsed/>
    <w:qFormat/>
    <w:uiPriority w:val="99"/>
    <w:pPr>
      <w:ind w:firstLine="420"/>
    </w:pPr>
  </w:style>
  <w:style w:type="paragraph" w:styleId="10">
    <w:name w:val="annotation text"/>
    <w:basedOn w:val="1"/>
    <w:link w:val="37"/>
    <w:semiHidden/>
    <w:qFormat/>
    <w:uiPriority w:val="0"/>
    <w:pPr>
      <w:jc w:val="left"/>
    </w:pPr>
  </w:style>
  <w:style w:type="paragraph" w:styleId="11">
    <w:name w:val="Body Text Indent"/>
    <w:basedOn w:val="1"/>
    <w:qFormat/>
    <w:uiPriority w:val="0"/>
    <w:pPr>
      <w:ind w:firstLine="538" w:firstLineChars="192"/>
      <w:jc w:val="left"/>
    </w:pPr>
  </w:style>
  <w:style w:type="paragraph" w:styleId="12">
    <w:name w:val="Plain Text"/>
    <w:basedOn w:val="1"/>
    <w:link w:val="38"/>
    <w:qFormat/>
    <w:uiPriority w:val="0"/>
    <w:rPr>
      <w:rFonts w:hAnsi="Courier New" w:cs="Courier New"/>
      <w:sz w:val="21"/>
      <w:szCs w:val="21"/>
    </w:rPr>
  </w:style>
  <w:style w:type="paragraph" w:styleId="13">
    <w:name w:val="Body Text Indent 2"/>
    <w:basedOn w:val="1"/>
    <w:qFormat/>
    <w:uiPriority w:val="0"/>
    <w:pPr>
      <w:ind w:firstLine="420" w:firstLineChars="150"/>
      <w:jc w:val="left"/>
    </w:pPr>
  </w:style>
  <w:style w:type="paragraph" w:styleId="14">
    <w:name w:val="Balloon Text"/>
    <w:basedOn w:val="1"/>
    <w:semiHidden/>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rFonts w:eastAsia="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Subtitle"/>
    <w:basedOn w:val="1"/>
    <w:next w:val="1"/>
    <w:link w:val="40"/>
    <w:qFormat/>
    <w:uiPriority w:val="0"/>
    <w:pPr>
      <w:spacing w:before="240" w:after="60" w:line="312" w:lineRule="auto"/>
      <w:jc w:val="center"/>
      <w:outlineLvl w:val="1"/>
    </w:pPr>
    <w:rPr>
      <w:rFonts w:ascii="Cambria" w:hAnsi="Cambria" w:cs="Times New Roman"/>
      <w:b/>
      <w:bCs/>
      <w:kern w:val="28"/>
      <w:sz w:val="32"/>
      <w:szCs w:val="32"/>
    </w:rPr>
  </w:style>
  <w:style w:type="paragraph" w:styleId="19">
    <w:name w:val="Body Text Indent 3"/>
    <w:basedOn w:val="1"/>
    <w:qFormat/>
    <w:uiPriority w:val="0"/>
    <w:pPr>
      <w:ind w:firstLine="560" w:firstLineChars="200"/>
    </w:pPr>
  </w:style>
  <w:style w:type="paragraph" w:styleId="20">
    <w:name w:val="toc 2"/>
    <w:basedOn w:val="1"/>
    <w:next w:val="1"/>
    <w:qFormat/>
    <w:uiPriority w:val="0"/>
    <w:pPr>
      <w:ind w:left="420" w:leftChars="200"/>
    </w:pPr>
  </w:style>
  <w:style w:type="paragraph" w:styleId="21">
    <w:name w:val="Normal (Web)"/>
    <w:basedOn w:val="1"/>
    <w:qFormat/>
    <w:uiPriority w:val="0"/>
    <w:pPr>
      <w:widowControl/>
      <w:jc w:val="left"/>
    </w:pPr>
    <w:rPr>
      <w:rFonts w:ascii="Arial Unicode MS" w:hAnsi="Arial Unicode MS" w:eastAsia="Arial Unicode MS" w:cs="Arial Unicode MS"/>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41"/>
    <w:qFormat/>
    <w:uiPriority w:val="0"/>
    <w:rPr>
      <w:b/>
      <w:bCs/>
    </w:rPr>
  </w:style>
  <w:style w:type="paragraph" w:styleId="24">
    <w:name w:val="Body Text First Indent"/>
    <w:basedOn w:val="1"/>
    <w:qFormat/>
    <w:uiPriority w:val="0"/>
    <w:pPr>
      <w:spacing w:line="312" w:lineRule="auto"/>
      <w:ind w:firstLine="964" w:firstLineChars="200"/>
    </w:pPr>
    <w:rPr>
      <w:rFonts w:eastAsia="宋体"/>
    </w:rPr>
  </w:style>
  <w:style w:type="paragraph" w:styleId="25">
    <w:name w:val="Body Text First Indent 2"/>
    <w:basedOn w:val="11"/>
    <w:qFormat/>
    <w:uiPriority w:val="0"/>
    <w:pPr>
      <w:ind w:firstLine="420" w:firstLineChars="200"/>
    </w:pPr>
    <w:rPr>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默认段落字体 Para Char"/>
    <w:basedOn w:val="1"/>
    <w:link w:val="28"/>
    <w:qFormat/>
    <w:uiPriority w:val="0"/>
    <w:pPr>
      <w:adjustRightInd w:val="0"/>
      <w:spacing w:line="360" w:lineRule="auto"/>
    </w:pPr>
    <w:rPr>
      <w:rFonts w:ascii="Times New Roman" w:hAnsi="Times New Roman"/>
      <w:kern w:val="0"/>
      <w:sz w:val="24"/>
      <w:szCs w:val="20"/>
    </w:rPr>
  </w:style>
  <w:style w:type="character" w:styleId="30">
    <w:name w:val="page number"/>
    <w:qFormat/>
    <w:uiPriority w:val="0"/>
  </w:style>
  <w:style w:type="character" w:styleId="31">
    <w:name w:val="Hyperlink"/>
    <w:qFormat/>
    <w:uiPriority w:val="0"/>
    <w:rPr>
      <w:color w:val="0000FF"/>
      <w:u w:val="single"/>
    </w:rPr>
  </w:style>
  <w:style w:type="character" w:styleId="32">
    <w:name w:val="annotation reference"/>
    <w:qFormat/>
    <w:uiPriority w:val="0"/>
    <w:rPr>
      <w:sz w:val="21"/>
      <w:szCs w:val="21"/>
    </w:rPr>
  </w:style>
  <w:style w:type="character" w:customStyle="1" w:styleId="33">
    <w:name w:val="正文文本 字符"/>
    <w:link w:val="2"/>
    <w:qFormat/>
    <w:uiPriority w:val="0"/>
    <w:rPr>
      <w:rFonts w:ascii="宋体" w:hAnsi="宋体"/>
      <w:kern w:val="2"/>
      <w:sz w:val="28"/>
      <w:szCs w:val="24"/>
      <w:lang w:bidi="ar-SA"/>
    </w:rPr>
  </w:style>
  <w:style w:type="character" w:customStyle="1" w:styleId="34">
    <w:name w:val="标题 1 字符"/>
    <w:link w:val="4"/>
    <w:qFormat/>
    <w:uiPriority w:val="0"/>
    <w:rPr>
      <w:rFonts w:ascii="宋体" w:hAnsi="宋体" w:eastAsia="宋体"/>
      <w:b/>
      <w:bCs/>
      <w:kern w:val="44"/>
      <w:sz w:val="44"/>
      <w:szCs w:val="44"/>
      <w:lang w:val="en-US" w:eastAsia="zh-CN" w:bidi="ar-SA"/>
    </w:rPr>
  </w:style>
  <w:style w:type="character" w:customStyle="1" w:styleId="35">
    <w:name w:val="标题 2 字符"/>
    <w:link w:val="5"/>
    <w:qFormat/>
    <w:uiPriority w:val="0"/>
    <w:rPr>
      <w:rFonts w:ascii="宋体" w:hAnsi="宋体" w:eastAsia="宋体"/>
      <w:b/>
      <w:bCs/>
      <w:kern w:val="2"/>
      <w:sz w:val="24"/>
      <w:lang w:val="en-US" w:eastAsia="zh-CN" w:bidi="ar-SA"/>
    </w:rPr>
  </w:style>
  <w:style w:type="character" w:customStyle="1" w:styleId="36">
    <w:name w:val="标题 3 字符"/>
    <w:link w:val="6"/>
    <w:qFormat/>
    <w:uiPriority w:val="0"/>
    <w:rPr>
      <w:rFonts w:ascii="宋体" w:hAnsi="宋体" w:eastAsia="宋体"/>
      <w:b/>
      <w:bCs/>
      <w:kern w:val="2"/>
      <w:sz w:val="32"/>
      <w:szCs w:val="32"/>
      <w:lang w:val="en-US" w:eastAsia="zh-CN" w:bidi="ar-SA"/>
    </w:rPr>
  </w:style>
  <w:style w:type="character" w:customStyle="1" w:styleId="37">
    <w:name w:val="批注文字 字符"/>
    <w:link w:val="10"/>
    <w:semiHidden/>
    <w:qFormat/>
    <w:uiPriority w:val="0"/>
    <w:rPr>
      <w:rFonts w:ascii="宋体" w:hAnsi="宋体"/>
      <w:kern w:val="2"/>
      <w:sz w:val="28"/>
      <w:szCs w:val="24"/>
    </w:rPr>
  </w:style>
  <w:style w:type="character" w:customStyle="1" w:styleId="38">
    <w:name w:val="纯文本 字符"/>
    <w:link w:val="12"/>
    <w:qFormat/>
    <w:uiPriority w:val="0"/>
    <w:rPr>
      <w:rFonts w:ascii="宋体" w:hAnsi="Courier New" w:eastAsia="宋体" w:cs="Courier New"/>
      <w:kern w:val="2"/>
      <w:sz w:val="21"/>
      <w:szCs w:val="21"/>
      <w:lang w:val="en-US" w:eastAsia="zh-CN" w:bidi="ar-SA"/>
    </w:rPr>
  </w:style>
  <w:style w:type="character" w:customStyle="1" w:styleId="39">
    <w:name w:val="页脚 字符"/>
    <w:link w:val="15"/>
    <w:qFormat/>
    <w:uiPriority w:val="99"/>
    <w:rPr>
      <w:rFonts w:ascii="宋体" w:hAnsi="宋体"/>
      <w:kern w:val="2"/>
      <w:sz w:val="18"/>
      <w:szCs w:val="18"/>
      <w:lang w:bidi="ar-SA"/>
    </w:rPr>
  </w:style>
  <w:style w:type="character" w:customStyle="1" w:styleId="40">
    <w:name w:val="副标题 字符"/>
    <w:link w:val="18"/>
    <w:qFormat/>
    <w:uiPriority w:val="0"/>
    <w:rPr>
      <w:rFonts w:ascii="Cambria" w:hAnsi="Cambria" w:cs="Times New Roman"/>
      <w:b/>
      <w:bCs/>
      <w:kern w:val="28"/>
      <w:sz w:val="32"/>
      <w:szCs w:val="32"/>
    </w:rPr>
  </w:style>
  <w:style w:type="character" w:customStyle="1" w:styleId="41">
    <w:name w:val="批注主题 字符"/>
    <w:link w:val="23"/>
    <w:qFormat/>
    <w:uiPriority w:val="0"/>
    <w:rPr>
      <w:rFonts w:ascii="宋体" w:hAnsi="宋体"/>
      <w:b/>
      <w:bCs/>
      <w:kern w:val="2"/>
      <w:sz w:val="28"/>
      <w:szCs w:val="24"/>
    </w:rPr>
  </w:style>
  <w:style w:type="paragraph" w:customStyle="1" w:styleId="42">
    <w:name w:val="正文文字 6"/>
    <w:next w:val="1"/>
    <w:qFormat/>
    <w:uiPriority w:val="0"/>
    <w:pPr>
      <w:widowControl w:val="0"/>
      <w:ind w:left="240"/>
      <w:jc w:val="both"/>
    </w:pPr>
    <w:rPr>
      <w:rFonts w:ascii="宋体" w:hAnsi="等线" w:eastAsia="等线" w:cs="等线"/>
      <w:b/>
      <w:bCs/>
      <w:kern w:val="2"/>
      <w:sz w:val="32"/>
      <w:szCs w:val="32"/>
      <w:lang w:val="en-US" w:eastAsia="zh-CN" w:bidi="ar-SA"/>
    </w:rPr>
  </w:style>
  <w:style w:type="character" w:customStyle="1" w:styleId="43">
    <w:name w:val="_Style 42"/>
    <w:unhideWhenUsed/>
    <w:qFormat/>
    <w:uiPriority w:val="99"/>
    <w:rPr>
      <w:color w:val="605E5C"/>
      <w:shd w:val="clear" w:color="auto" w:fill="E1DFDD"/>
    </w:rPr>
  </w:style>
  <w:style w:type="character" w:customStyle="1" w:styleId="44">
    <w:name w:val="NormalCharacter"/>
    <w:qFormat/>
    <w:uiPriority w:val="0"/>
    <w:rPr>
      <w:rFonts w:ascii="Calibri" w:hAnsi="Calibri" w:eastAsia="宋体" w:cs="Times New Roman"/>
    </w:rPr>
  </w:style>
  <w:style w:type="paragraph" w:customStyle="1" w:styleId="45">
    <w:name w:val="无间隔1"/>
    <w:basedOn w:val="1"/>
    <w:qFormat/>
    <w:uiPriority w:val="1"/>
    <w:pPr>
      <w:spacing w:line="400" w:lineRule="exact"/>
    </w:pPr>
    <w:rPr>
      <w:sz w:val="24"/>
    </w:rPr>
  </w:style>
  <w:style w:type="paragraph" w:customStyle="1" w:styleId="46">
    <w:name w:val="正文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8"/>
      <w:szCs w:val="22"/>
      <w:lang w:val="en-US" w:eastAsia="zh-CN" w:bidi="ar"/>
    </w:rPr>
  </w:style>
  <w:style w:type="paragraph" w:customStyle="1" w:styleId="47">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hAnsi="Times New Roman"/>
      <w:kern w:val="0"/>
      <w:sz w:val="24"/>
      <w:szCs w:val="20"/>
    </w:rPr>
  </w:style>
  <w:style w:type="table" w:customStyle="1" w:styleId="4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9">
    <w:name w:val="Table Text"/>
    <w:basedOn w:val="1"/>
    <w:semiHidden/>
    <w:qFormat/>
    <w:uiPriority w:val="0"/>
    <w:rPr>
      <w:rFonts w:ascii="仿宋" w:hAnsi="仿宋" w:eastAsia="仿宋" w:cs="仿宋"/>
      <w:sz w:val="24"/>
      <w:szCs w:val="24"/>
    </w:rPr>
  </w:style>
  <w:style w:type="table" w:customStyle="1" w:styleId="50">
    <w:name w:val="Table Normal1"/>
    <w:unhideWhenUsed/>
    <w:qFormat/>
    <w:uiPriority w:val="0"/>
    <w:pPr>
      <w:spacing w:after="160" w:line="278" w:lineRule="auto"/>
    </w:pPr>
    <w:rPr>
      <w:rFonts w:ascii="Arial" w:hAnsi="Arial" w:eastAsia="等线" w:cs="Arial"/>
      <w:snapToGrid w:val="0"/>
      <w:color w:val="000000"/>
      <w:sz w:val="21"/>
      <w:szCs w:val="21"/>
      <w:lang w:val="en-US" w:eastAsia="en-US" w:bidi="ar-SA"/>
    </w:rPr>
    <w:tblPr>
      <w:tblCellMar>
        <w:top w:w="0" w:type="dxa"/>
        <w:left w:w="0" w:type="dxa"/>
        <w:bottom w:w="0" w:type="dxa"/>
        <w:right w:w="0" w:type="dxa"/>
      </w:tblCellMar>
    </w:tblPr>
  </w:style>
  <w:style w:type="paragraph" w:customStyle="1" w:styleId="51">
    <w:name w:val="toc 21"/>
    <w:next w:val="1"/>
    <w:qFormat/>
    <w:uiPriority w:val="0"/>
    <w:pPr>
      <w:wordWrap w:val="0"/>
      <w:ind w:left="425"/>
      <w:jc w:val="both"/>
    </w:pPr>
    <w:rPr>
      <w:rFonts w:ascii="等线" w:hAnsi="等线" w:eastAsia="等线" w:cs="等线"/>
      <w:sz w:val="21"/>
      <w:lang w:val="en-US" w:eastAsia="zh-CN" w:bidi="ar-SA"/>
    </w:rPr>
  </w:style>
  <w:style w:type="paragraph" w:customStyle="1" w:styleId="52">
    <w:name w:val="_Style 51"/>
    <w:unhideWhenUsed/>
    <w:qFormat/>
    <w:uiPriority w:val="99"/>
    <w:rPr>
      <w:rFonts w:ascii="宋体" w:hAnsi="宋体" w:eastAsia="等线" w:cs="等线"/>
      <w:kern w:val="2"/>
      <w:sz w:val="28"/>
      <w:szCs w:val="24"/>
      <w:lang w:val="en-US" w:eastAsia="zh-CN" w:bidi="ar-SA"/>
    </w:rPr>
  </w:style>
  <w:style w:type="paragraph" w:customStyle="1" w:styleId="53">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等线" w:cs="Times New Roman"/>
      <w:kern w:val="2"/>
      <w:sz w:val="21"/>
      <w:szCs w:val="21"/>
      <w:lang w:val="en-US" w:eastAsia="zh-CN" w:bidi="ar"/>
    </w:rPr>
  </w:style>
  <w:style w:type="character" w:customStyle="1" w:styleId="54">
    <w:name w:val="font41"/>
    <w:basedOn w:val="28"/>
    <w:qFormat/>
    <w:uiPriority w:val="0"/>
    <w:rPr>
      <w:rFonts w:ascii="仿宋" w:hAnsi="仿宋" w:eastAsia="仿宋" w:cs="仿宋"/>
      <w:color w:val="000000"/>
      <w:sz w:val="16"/>
      <w:szCs w:val="16"/>
      <w:u w:val="none"/>
    </w:rPr>
  </w:style>
  <w:style w:type="character" w:customStyle="1" w:styleId="55">
    <w:name w:val="font11"/>
    <w:basedOn w:val="28"/>
    <w:qFormat/>
    <w:uiPriority w:val="0"/>
    <w:rPr>
      <w:rFonts w:hint="eastAsia" w:ascii="微软雅黑" w:hAnsi="微软雅黑" w:eastAsia="微软雅黑" w:cs="微软雅黑"/>
      <w:color w:val="000000"/>
      <w:sz w:val="16"/>
      <w:szCs w:val="16"/>
      <w:u w:val="none"/>
    </w:rPr>
  </w:style>
  <w:style w:type="paragraph" w:customStyle="1" w:styleId="56">
    <w:name w:val="列出段落2"/>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11281</Words>
  <Characters>11745</Characters>
  <Lines>521</Lines>
  <Paragraphs>444</Paragraphs>
  <TotalTime>2</TotalTime>
  <ScaleCrop>false</ScaleCrop>
  <LinksUpToDate>false</LinksUpToDate>
  <CharactersWithSpaces>11804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2025-06-02T02:52:00Z</dcterms:created>
  <dc:creator>Administrator</dc:creator>
  <cp:lastModifiedBy>伍梦烨</cp:lastModifiedBy>
  <cp:lastPrinted>2025-06-12T07:50:00Z</cp:lastPrinted>
  <dcterms:modified xsi:type="dcterms:W3CDTF">2026-01-26T03:00:31Z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DAF058D884AF4050BE4314A384E2BD25_13</vt:lpwstr>
  </property>
  <property fmtid="{D5CDD505-2E9C-101B-9397-08002B2CF9AE}" pid="4" name="KSOTemplateDocerSaveRecord">
    <vt:lpwstr>eyJoZGlkIjoiMjQzZjQ1ZGE3NmUwYzZhNGViMDUxZmY0Nzc4YWIzMjYiLCJ1c2VySWQiOiIxNjU3NTE2MDEyIn0=</vt:lpwstr>
  </property>
</Properties>
</file>