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color w:val="auto"/>
          <w:sz w:val="44"/>
          <w:szCs w:val="44"/>
          <w:highlight w:val="none"/>
        </w:rPr>
      </w:pPr>
      <w:r>
        <w:rPr>
          <w:color w:val="auto"/>
          <w:sz w:val="36"/>
          <w:szCs w:val="36"/>
          <w:highlight w:val="none"/>
        </w:rPr>
        <w:t>凉山州兴德建设有限责任公司关于采用竞争性谈判选取德昌县南环线建设工程（东段）安宁河特大桥已完工程实体检测单位的通知</w:t>
      </w:r>
    </w:p>
    <w:p>
      <w:pPr>
        <w:ind w:firstLine="480" w:firstLineChars="200"/>
        <w:rPr>
          <w:color w:val="auto"/>
          <w:sz w:val="24"/>
          <w:highlight w:val="none"/>
        </w:rPr>
      </w:pPr>
      <w:r>
        <w:rPr>
          <w:rFonts w:hint="eastAsia"/>
          <w:color w:val="auto"/>
          <w:sz w:val="24"/>
          <w:highlight w:val="none"/>
        </w:rPr>
        <w:t>凉山州兴德建设有限责任公司（以下简称：我公司）拟采用竞争性谈判方式选取德昌县南环线建设工程（东段）安宁河特大桥已完工程实体检测单位。现将有关事项公告如下：</w:t>
      </w:r>
    </w:p>
    <w:p>
      <w:pPr>
        <w:rPr>
          <w:color w:val="auto"/>
          <w:sz w:val="24"/>
          <w:highlight w:val="none"/>
        </w:rPr>
      </w:pPr>
      <w:r>
        <w:rPr>
          <w:rFonts w:hint="eastAsia"/>
          <w:color w:val="auto"/>
          <w:sz w:val="24"/>
          <w:highlight w:val="none"/>
        </w:rPr>
        <w:t>一、委托事项</w:t>
      </w:r>
    </w:p>
    <w:p>
      <w:pPr>
        <w:ind w:firstLine="480" w:firstLineChars="200"/>
        <w:rPr>
          <w:color w:val="auto"/>
          <w:sz w:val="24"/>
          <w:highlight w:val="none"/>
        </w:rPr>
      </w:pPr>
      <w:r>
        <w:rPr>
          <w:rFonts w:hint="eastAsia"/>
          <w:color w:val="auto"/>
          <w:sz w:val="24"/>
          <w:highlight w:val="none"/>
        </w:rPr>
        <w:t>德昌县南环线建设工程（东段）安宁河特大桥已完工程实体检测单位。</w:t>
      </w:r>
    </w:p>
    <w:p>
      <w:pPr>
        <w:rPr>
          <w:color w:val="auto"/>
          <w:sz w:val="24"/>
          <w:highlight w:val="none"/>
        </w:rPr>
      </w:pPr>
      <w:r>
        <w:rPr>
          <w:rFonts w:hint="eastAsia"/>
          <w:color w:val="auto"/>
          <w:sz w:val="24"/>
          <w:highlight w:val="none"/>
        </w:rPr>
        <w:t>二、参选的检测单位资格条件及相关要求</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2.1中华人民共和国境内法人，具备独立法人资格，持有有效营业执照，具有独立承担民事责任的能力；</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2.2具有良好的商业信誉和健全的财务会计制度；</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2.3具有履行合同所必需的设备和专业技术能力；</w:t>
      </w:r>
    </w:p>
    <w:p>
      <w:pPr>
        <w:pStyle w:val="21"/>
        <w:spacing w:line="240" w:lineRule="auto"/>
        <w:ind w:firstLine="480"/>
        <w:rPr>
          <w:rFonts w:ascii="宋体" w:hAnsi="宋体"/>
          <w:color w:val="auto"/>
          <w:sz w:val="24"/>
          <w:highlight w:val="none"/>
        </w:rPr>
      </w:pPr>
      <w:r>
        <w:rPr>
          <w:rFonts w:hint="eastAsia" w:ascii="宋体" w:hAnsi="宋体" w:cs="宋体"/>
          <w:color w:val="auto"/>
          <w:sz w:val="24"/>
          <w:highlight w:val="none"/>
        </w:rPr>
        <w:t>2.4</w:t>
      </w:r>
      <w:r>
        <w:rPr>
          <w:rFonts w:hint="eastAsia" w:ascii="宋体" w:hAnsi="宋体"/>
          <w:color w:val="auto"/>
          <w:sz w:val="24"/>
          <w:highlight w:val="none"/>
        </w:rPr>
        <w:t>具有依法缴纳税收和社会保障资金的良好记录；</w:t>
      </w:r>
    </w:p>
    <w:p>
      <w:pPr>
        <w:pStyle w:val="21"/>
        <w:spacing w:line="240" w:lineRule="auto"/>
        <w:ind w:firstLine="480"/>
        <w:rPr>
          <w:rFonts w:ascii="宋体" w:hAnsi="宋体"/>
          <w:color w:val="auto"/>
          <w:sz w:val="24"/>
          <w:highlight w:val="none"/>
        </w:rPr>
      </w:pPr>
      <w:r>
        <w:rPr>
          <w:rFonts w:hint="eastAsia" w:ascii="宋体" w:hAnsi="宋体"/>
          <w:color w:val="auto"/>
          <w:sz w:val="24"/>
          <w:highlight w:val="none"/>
        </w:rPr>
        <w:t>2.5参加本次谈判活动前三年在经营活动中没有重大违法记录；</w:t>
      </w:r>
    </w:p>
    <w:p>
      <w:pPr>
        <w:pStyle w:val="21"/>
        <w:spacing w:line="240" w:lineRule="auto"/>
        <w:ind w:firstLine="480"/>
        <w:rPr>
          <w:rFonts w:hint="eastAsia" w:ascii="宋体" w:hAnsi="宋体" w:eastAsia="宋体"/>
          <w:color w:val="auto"/>
          <w:sz w:val="24"/>
          <w:highlight w:val="none"/>
          <w:lang w:eastAsia="zh-CN"/>
        </w:rPr>
      </w:pPr>
      <w:r>
        <w:rPr>
          <w:rFonts w:hint="eastAsia" w:ascii="宋体" w:hAnsi="宋体"/>
          <w:color w:val="auto"/>
          <w:sz w:val="24"/>
          <w:highlight w:val="none"/>
        </w:rPr>
        <w:t>2.6法律、行政法规规定的其它条件</w:t>
      </w:r>
      <w:r>
        <w:rPr>
          <w:rFonts w:hint="eastAsia" w:ascii="宋体" w:hAnsi="宋体"/>
          <w:color w:val="auto"/>
          <w:sz w:val="24"/>
          <w:highlight w:val="none"/>
          <w:lang w:eastAsia="zh-CN"/>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2.7其他要求</w:t>
      </w:r>
    </w:p>
    <w:p>
      <w:pPr>
        <w:spacing w:line="44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（1）谈判申请人要求具有省级及以上建设行政主管部门颁发的建设工程质量检测资质，并取得了省级及以上质量技术监督部门颁发的计量认证证书；</w:t>
      </w:r>
    </w:p>
    <w:p>
      <w:pPr>
        <w:spacing w:line="44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（2）谈判申请人应具备公路工程试验检测机构综合甲级资质和公路工程试验检测机构桥梁隧道工程专项资质；</w:t>
      </w:r>
    </w:p>
    <w:p>
      <w:pPr>
        <w:spacing w:line="44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（3）谈判申请人近三年（2021年3月1日至谈判时间）至少已完成或新承接或正在检测1个市政工程（须含桥梁工程）或公路工程（须含桥梁工程）实体检测业绩；</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（4）具有省级及以上住建行政主管部门核发的有效的《安全生产许可证》。</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2.8本项目人员配备要求</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项目负责人1人；</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技术负责人1人：</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试验工程师：</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检测员：满足行业主管部门对检测人员的相关要求。</w:t>
      </w:r>
    </w:p>
    <w:p>
      <w:pPr>
        <w:ind w:left="476" w:leftChars="170"/>
        <w:rPr>
          <w:rFonts w:ascii="宋体" w:hAnsi="宋体" w:cs="宋体"/>
          <w:color w:val="auto"/>
          <w:sz w:val="24"/>
          <w:highlight w:val="none"/>
        </w:rPr>
      </w:pPr>
      <w:r>
        <w:rPr>
          <w:rFonts w:hint="eastAsia" w:ascii="宋体" w:hAnsi="宋体" w:cs="宋体"/>
          <w:color w:val="auto"/>
          <w:sz w:val="24"/>
          <w:highlight w:val="none"/>
        </w:rPr>
        <w:t>2.9信誉要求</w:t>
      </w:r>
    </w:p>
    <w:p>
      <w:pPr>
        <w:pStyle w:val="21"/>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（1）被州级及以上主管部门取消比选项目所在地的投标资格且处于有效期内，不接受其谈判</w:t>
      </w:r>
      <w:r>
        <w:rPr>
          <w:rFonts w:hint="eastAsia" w:ascii="宋体" w:hAnsi="宋体" w:cs="宋体"/>
          <w:color w:val="auto"/>
          <w:sz w:val="24"/>
          <w:highlight w:val="none"/>
          <w:lang w:eastAsia="zh-CN"/>
        </w:rPr>
        <w:t>；</w:t>
      </w:r>
    </w:p>
    <w:p>
      <w:pPr>
        <w:pStyle w:val="21"/>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（2）被责令停业，暂扣或吊销执照，或吊销资质证书，不接受其谈判</w:t>
      </w:r>
      <w:r>
        <w:rPr>
          <w:rFonts w:hint="eastAsia" w:ascii="宋体" w:hAnsi="宋体" w:cs="宋体"/>
          <w:color w:val="auto"/>
          <w:sz w:val="24"/>
          <w:highlight w:val="none"/>
          <w:lang w:eastAsia="zh-CN"/>
        </w:rPr>
        <w:t>；</w:t>
      </w:r>
    </w:p>
    <w:p>
      <w:pPr>
        <w:pStyle w:val="21"/>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（3）进入清算程序，或被宣告破产，或其他丧失履约能力的情形，不接受其谈判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（4）在国家企业信用信息公示系统（http://www.gsxt.gov.cn/）中被列入严重违法失信企业名单，不接受其谈判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（5）在“信用中国”网站（http://www.creditchina.gov.cn/）中被列入失信被执行人名单，不接受其谈判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（6）近三年内，谈判申请人或其法定代表人、拟委任的项目负责人无行贿犯罪行为（需提供书面承诺，格式自拟）；</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（7）近三年内，谈判申请人和其法定代表人、拟委任的项目负责人在相关主管部门无不良信用记录（需提供书面承诺，格式自拟）</w:t>
      </w:r>
      <w:r>
        <w:rPr>
          <w:rFonts w:hint="eastAsia" w:ascii="宋体" w:hAnsi="宋体" w:cs="宋体"/>
          <w:color w:val="auto"/>
          <w:sz w:val="24"/>
          <w:highlight w:val="none"/>
          <w:lang w:eastAsia="zh-CN"/>
        </w:rPr>
        <w:t>。</w:t>
      </w:r>
    </w:p>
    <w:p>
      <w:pPr>
        <w:rPr>
          <w:color w:val="auto"/>
          <w:sz w:val="24"/>
          <w:highlight w:val="none"/>
        </w:rPr>
      </w:pPr>
      <w:r>
        <w:rPr>
          <w:rFonts w:hint="eastAsia"/>
          <w:color w:val="auto"/>
          <w:sz w:val="24"/>
          <w:highlight w:val="none"/>
        </w:rPr>
        <w:t>三、报名时间和地点</w:t>
      </w:r>
    </w:p>
    <w:p>
      <w:pPr>
        <w:rPr>
          <w:color w:val="auto"/>
          <w:sz w:val="24"/>
          <w:highlight w:val="none"/>
        </w:rPr>
      </w:pPr>
      <w:r>
        <w:rPr>
          <w:rFonts w:hint="eastAsia"/>
          <w:color w:val="auto"/>
          <w:sz w:val="24"/>
          <w:highlight w:val="none"/>
        </w:rPr>
        <w:t>（一）报名截止时间：2024年03月</w:t>
      </w:r>
      <w:r>
        <w:rPr>
          <w:rFonts w:hint="eastAsia"/>
          <w:color w:val="auto"/>
          <w:sz w:val="24"/>
          <w:highlight w:val="none"/>
          <w:lang w:val="en-US" w:eastAsia="zh-CN"/>
        </w:rPr>
        <w:t>20</w:t>
      </w:r>
      <w:r>
        <w:rPr>
          <w:rFonts w:hint="eastAsia"/>
          <w:color w:val="auto"/>
          <w:sz w:val="24"/>
          <w:highlight w:val="none"/>
        </w:rPr>
        <w:t>日1</w:t>
      </w:r>
      <w:r>
        <w:rPr>
          <w:rFonts w:hint="eastAsia"/>
          <w:color w:val="auto"/>
          <w:sz w:val="24"/>
          <w:highlight w:val="none"/>
          <w:lang w:val="en-US" w:eastAsia="zh-CN"/>
        </w:rPr>
        <w:t>5</w:t>
      </w:r>
      <w:r>
        <w:rPr>
          <w:rFonts w:hint="eastAsia"/>
          <w:color w:val="auto"/>
          <w:sz w:val="24"/>
          <w:highlight w:val="none"/>
        </w:rPr>
        <w:t>：00前。自行在网站下载。</w:t>
      </w:r>
    </w:p>
    <w:p>
      <w:pPr>
        <w:rPr>
          <w:color w:val="auto"/>
          <w:sz w:val="24"/>
          <w:highlight w:val="none"/>
        </w:rPr>
      </w:pPr>
      <w:r>
        <w:rPr>
          <w:rFonts w:hint="eastAsia"/>
          <w:color w:val="auto"/>
          <w:sz w:val="24"/>
          <w:highlight w:val="none"/>
        </w:rPr>
        <w:t>四、提交参选资料时间及地点</w:t>
      </w:r>
    </w:p>
    <w:p>
      <w:pPr>
        <w:rPr>
          <w:color w:val="auto"/>
          <w:sz w:val="24"/>
          <w:highlight w:val="none"/>
        </w:rPr>
      </w:pPr>
      <w:r>
        <w:rPr>
          <w:rFonts w:hint="eastAsia"/>
          <w:color w:val="auto"/>
          <w:sz w:val="24"/>
          <w:highlight w:val="none"/>
        </w:rPr>
        <w:t>（一）时间：2024年03月</w:t>
      </w:r>
      <w:r>
        <w:rPr>
          <w:rFonts w:hint="eastAsia"/>
          <w:color w:val="auto"/>
          <w:sz w:val="24"/>
          <w:highlight w:val="none"/>
          <w:lang w:val="en-US" w:eastAsia="zh-CN"/>
        </w:rPr>
        <w:t>20</w:t>
      </w:r>
      <w:r>
        <w:rPr>
          <w:rFonts w:hint="eastAsia"/>
          <w:color w:val="auto"/>
          <w:sz w:val="24"/>
          <w:highlight w:val="none"/>
        </w:rPr>
        <w:t>日1</w:t>
      </w:r>
      <w:r>
        <w:rPr>
          <w:rFonts w:hint="eastAsia"/>
          <w:color w:val="auto"/>
          <w:sz w:val="24"/>
          <w:highlight w:val="none"/>
          <w:lang w:val="en-US" w:eastAsia="zh-CN"/>
        </w:rPr>
        <w:t>5</w:t>
      </w:r>
      <w:r>
        <w:rPr>
          <w:rFonts w:hint="eastAsia"/>
          <w:color w:val="auto"/>
          <w:sz w:val="24"/>
          <w:highlight w:val="none"/>
        </w:rPr>
        <w:t>：00前；截止时间后收到的参选资料无效。</w:t>
      </w:r>
    </w:p>
    <w:p>
      <w:pPr>
        <w:rPr>
          <w:color w:val="auto"/>
          <w:sz w:val="24"/>
          <w:highlight w:val="none"/>
        </w:rPr>
      </w:pPr>
      <w:r>
        <w:rPr>
          <w:rFonts w:hint="eastAsia"/>
          <w:color w:val="auto"/>
          <w:sz w:val="24"/>
          <w:highlight w:val="none"/>
        </w:rPr>
        <w:t>（二）地点：凉山州兴德建设有限责任公司（德昌县德泰家院幸福里3栋1单元18-1办公室）。</w:t>
      </w:r>
    </w:p>
    <w:p>
      <w:pPr>
        <w:rPr>
          <w:color w:val="auto"/>
          <w:sz w:val="24"/>
          <w:highlight w:val="none"/>
        </w:rPr>
      </w:pPr>
      <w:r>
        <w:rPr>
          <w:rFonts w:hint="eastAsia"/>
          <w:color w:val="auto"/>
          <w:sz w:val="24"/>
          <w:highlight w:val="none"/>
        </w:rPr>
        <w:t>五、评选开始时间</w:t>
      </w:r>
    </w:p>
    <w:p>
      <w:pPr>
        <w:ind w:firstLine="480" w:firstLineChars="200"/>
        <w:rPr>
          <w:color w:val="auto"/>
          <w:sz w:val="24"/>
          <w:highlight w:val="none"/>
        </w:rPr>
      </w:pPr>
      <w:r>
        <w:rPr>
          <w:rFonts w:hint="eastAsia"/>
          <w:color w:val="auto"/>
          <w:sz w:val="24"/>
          <w:highlight w:val="none"/>
        </w:rPr>
        <w:t>2024年03月</w:t>
      </w:r>
      <w:r>
        <w:rPr>
          <w:rFonts w:hint="eastAsia"/>
          <w:color w:val="auto"/>
          <w:sz w:val="24"/>
          <w:highlight w:val="none"/>
          <w:lang w:val="en-US" w:eastAsia="zh-CN"/>
        </w:rPr>
        <w:t>20</w:t>
      </w:r>
      <w:r>
        <w:rPr>
          <w:rFonts w:hint="eastAsia"/>
          <w:color w:val="auto"/>
          <w:sz w:val="24"/>
          <w:highlight w:val="none"/>
        </w:rPr>
        <w:t>日1</w:t>
      </w:r>
      <w:r>
        <w:rPr>
          <w:rFonts w:hint="eastAsia"/>
          <w:color w:val="auto"/>
          <w:sz w:val="24"/>
          <w:highlight w:val="none"/>
          <w:lang w:val="en-US" w:eastAsia="zh-CN"/>
        </w:rPr>
        <w:t>5</w:t>
      </w:r>
      <w:r>
        <w:rPr>
          <w:rFonts w:hint="eastAsia"/>
          <w:color w:val="auto"/>
          <w:sz w:val="24"/>
          <w:highlight w:val="none"/>
        </w:rPr>
        <w:t>：00开始竞争性谈判评选。</w:t>
      </w:r>
    </w:p>
    <w:p>
      <w:pPr>
        <w:ind w:firstLine="480" w:firstLineChars="200"/>
        <w:rPr>
          <w:color w:val="auto"/>
          <w:sz w:val="24"/>
          <w:highlight w:val="none"/>
        </w:rPr>
      </w:pPr>
      <w:r>
        <w:rPr>
          <w:rFonts w:hint="eastAsia"/>
          <w:color w:val="auto"/>
          <w:sz w:val="24"/>
          <w:highlight w:val="none"/>
        </w:rPr>
        <w:t>特此通知。</w:t>
      </w:r>
    </w:p>
    <w:p>
      <w:pPr>
        <w:jc w:val="center"/>
        <w:rPr>
          <w:rFonts w:ascii="宋体" w:hAnsi="宋体"/>
          <w:color w:val="auto"/>
          <w:sz w:val="24"/>
          <w:highlight w:val="none"/>
          <w:u w:val="single"/>
        </w:rPr>
      </w:pPr>
    </w:p>
    <w:p>
      <w:pPr>
        <w:jc w:val="center"/>
        <w:rPr>
          <w:rFonts w:ascii="宋体" w:hAnsi="宋体"/>
          <w:color w:val="auto"/>
          <w:sz w:val="24"/>
          <w:highlight w:val="none"/>
          <w:u w:val="single"/>
        </w:rPr>
      </w:pPr>
    </w:p>
    <w:p>
      <w:pPr>
        <w:pStyle w:val="3"/>
        <w:spacing w:before="336" w:after="336" w:line="240" w:lineRule="auto"/>
        <w:rPr>
          <w:color w:val="auto"/>
          <w:sz w:val="24"/>
          <w:szCs w:val="24"/>
          <w:highlight w:val="none"/>
        </w:rPr>
      </w:pPr>
    </w:p>
    <w:p>
      <w:pPr>
        <w:jc w:val="center"/>
        <w:rPr>
          <w:rFonts w:ascii="宋体" w:hAnsi="宋体"/>
          <w:color w:val="auto"/>
          <w:sz w:val="24"/>
          <w:highlight w:val="none"/>
          <w:u w:val="single"/>
        </w:rPr>
      </w:pPr>
      <w:r>
        <w:rPr>
          <w:rFonts w:hint="eastAsia"/>
          <w:color w:val="auto"/>
          <w:sz w:val="24"/>
          <w:highlight w:val="none"/>
        </w:rPr>
        <w:t xml:space="preserve">                       凉山州兴德建设有限责任公司</w:t>
      </w:r>
    </w:p>
    <w:p>
      <w:pPr>
        <w:jc w:val="center"/>
        <w:rPr>
          <w:rFonts w:ascii="宋体" w:hAnsi="宋体"/>
          <w:color w:val="auto"/>
          <w:sz w:val="24"/>
          <w:highlight w:val="none"/>
          <w:u w:val="single"/>
        </w:rPr>
      </w:pPr>
      <w:r>
        <w:rPr>
          <w:rFonts w:hint="eastAsia" w:ascii="宋体" w:hAnsi="宋体"/>
          <w:color w:val="auto"/>
          <w:sz w:val="24"/>
          <w:highlight w:val="none"/>
        </w:rPr>
        <w:t xml:space="preserve">                       2024年03月</w:t>
      </w:r>
      <w:r>
        <w:rPr>
          <w:rFonts w:hint="eastAsia" w:ascii="宋体" w:hAnsi="宋体"/>
          <w:color w:val="auto"/>
          <w:sz w:val="24"/>
          <w:highlight w:val="none"/>
          <w:lang w:val="en-US" w:eastAsia="zh-CN"/>
        </w:rPr>
        <w:t>15</w:t>
      </w:r>
      <w:r>
        <w:rPr>
          <w:rFonts w:hint="eastAsia" w:ascii="宋体" w:hAnsi="宋体"/>
          <w:color w:val="auto"/>
          <w:sz w:val="24"/>
          <w:highlight w:val="none"/>
        </w:rPr>
        <w:t>日</w:t>
      </w:r>
    </w:p>
    <w:p>
      <w:pPr>
        <w:rPr>
          <w:rFonts w:ascii="宋体" w:hAnsi="宋体"/>
          <w:color w:val="auto"/>
          <w:sz w:val="36"/>
          <w:szCs w:val="36"/>
          <w:highlight w:val="none"/>
          <w:u w:val="single"/>
        </w:rPr>
      </w:pPr>
    </w:p>
    <w:p>
      <w:pPr>
        <w:jc w:val="center"/>
        <w:rPr>
          <w:rFonts w:ascii="宋体" w:hAnsi="宋体"/>
          <w:color w:val="auto"/>
          <w:sz w:val="36"/>
          <w:szCs w:val="36"/>
          <w:highlight w:val="none"/>
          <w:u w:val="single"/>
        </w:rPr>
      </w:pPr>
    </w:p>
    <w:p>
      <w:pPr>
        <w:pStyle w:val="3"/>
        <w:spacing w:before="336" w:after="336"/>
        <w:rPr>
          <w:rFonts w:ascii="宋体" w:hAnsi="宋体"/>
          <w:color w:val="auto"/>
          <w:sz w:val="36"/>
          <w:szCs w:val="36"/>
          <w:highlight w:val="none"/>
          <w:u w:val="single"/>
        </w:rPr>
      </w:pPr>
    </w:p>
    <w:p>
      <w:pPr>
        <w:rPr>
          <w:rFonts w:ascii="宋体" w:hAnsi="宋体"/>
          <w:color w:val="auto"/>
          <w:sz w:val="36"/>
          <w:szCs w:val="36"/>
          <w:highlight w:val="none"/>
          <w:u w:val="single"/>
        </w:rPr>
      </w:pPr>
    </w:p>
    <w:p>
      <w:pPr>
        <w:pStyle w:val="3"/>
        <w:spacing w:before="336" w:after="336"/>
        <w:rPr>
          <w:rFonts w:ascii="宋体" w:hAnsi="宋体"/>
          <w:color w:val="auto"/>
          <w:sz w:val="36"/>
          <w:szCs w:val="36"/>
          <w:highlight w:val="none"/>
          <w:u w:val="single"/>
        </w:rPr>
      </w:pPr>
    </w:p>
    <w:p>
      <w:pPr>
        <w:rPr>
          <w:rFonts w:ascii="宋体" w:hAnsi="宋体"/>
          <w:color w:val="auto"/>
          <w:sz w:val="36"/>
          <w:szCs w:val="36"/>
          <w:highlight w:val="none"/>
          <w:u w:val="single"/>
        </w:rPr>
      </w:pPr>
    </w:p>
    <w:p>
      <w:pPr>
        <w:rPr>
          <w:rFonts w:ascii="宋体" w:hAnsi="宋体"/>
          <w:color w:val="auto"/>
          <w:sz w:val="36"/>
          <w:szCs w:val="36"/>
          <w:highlight w:val="none"/>
          <w:u w:val="single"/>
        </w:rPr>
      </w:pPr>
    </w:p>
    <w:p>
      <w:pPr>
        <w:pStyle w:val="3"/>
        <w:spacing w:before="336" w:after="336"/>
        <w:rPr>
          <w:color w:val="auto"/>
          <w:highlight w:val="none"/>
        </w:rPr>
      </w:pPr>
    </w:p>
    <w:p>
      <w:pPr>
        <w:pStyle w:val="2"/>
        <w:jc w:val="both"/>
        <w:rPr>
          <w:rFonts w:hint="default"/>
          <w:color w:val="auto"/>
          <w:sz w:val="36"/>
          <w:szCs w:val="36"/>
          <w:highlight w:val="none"/>
        </w:rPr>
      </w:pPr>
    </w:p>
    <w:p>
      <w:pPr>
        <w:rPr>
          <w:color w:val="auto"/>
          <w:highlight w:val="none"/>
        </w:rPr>
      </w:pPr>
    </w:p>
    <w:p>
      <w:pPr>
        <w:pStyle w:val="2"/>
        <w:jc w:val="center"/>
        <w:rPr>
          <w:rFonts w:hint="default"/>
          <w:color w:val="auto"/>
          <w:sz w:val="36"/>
          <w:szCs w:val="36"/>
          <w:highlight w:val="none"/>
        </w:rPr>
      </w:pPr>
      <w:r>
        <w:rPr>
          <w:color w:val="auto"/>
          <w:sz w:val="36"/>
          <w:szCs w:val="36"/>
          <w:highlight w:val="none"/>
        </w:rPr>
        <w:t>凉山州兴德建设有限责任公司关于采用竞争性谈判选取德昌县南环线建设工程（东段）安宁河特大桥已完工程实体检测单位</w:t>
      </w:r>
    </w:p>
    <w:p>
      <w:pPr>
        <w:rPr>
          <w:color w:val="auto"/>
          <w:sz w:val="44"/>
          <w:szCs w:val="44"/>
          <w:highlight w:val="none"/>
        </w:rPr>
      </w:pPr>
    </w:p>
    <w:p>
      <w:pPr>
        <w:rPr>
          <w:color w:val="auto"/>
          <w:sz w:val="44"/>
          <w:szCs w:val="44"/>
          <w:highlight w:val="none"/>
        </w:rPr>
      </w:pPr>
    </w:p>
    <w:p>
      <w:pPr>
        <w:rPr>
          <w:color w:val="auto"/>
          <w:sz w:val="44"/>
          <w:szCs w:val="44"/>
          <w:highlight w:val="none"/>
        </w:rPr>
      </w:pPr>
    </w:p>
    <w:p>
      <w:pPr>
        <w:pStyle w:val="3"/>
        <w:spacing w:before="336" w:after="336"/>
        <w:rPr>
          <w:color w:val="auto"/>
          <w:highlight w:val="none"/>
        </w:rPr>
      </w:pPr>
    </w:p>
    <w:p>
      <w:pPr>
        <w:jc w:val="center"/>
        <w:rPr>
          <w:rFonts w:ascii="仿宋_GB2312" w:hAnsi="仿宋_GB2312"/>
          <w:color w:val="auto"/>
          <w:sz w:val="72"/>
          <w:szCs w:val="72"/>
          <w:highlight w:val="none"/>
        </w:rPr>
      </w:pPr>
    </w:p>
    <w:p>
      <w:pPr>
        <w:jc w:val="center"/>
        <w:rPr>
          <w:rFonts w:ascii="仿宋_GB2312" w:hAnsi="仿宋_GB2312"/>
          <w:color w:val="auto"/>
          <w:sz w:val="72"/>
          <w:szCs w:val="72"/>
          <w:highlight w:val="none"/>
        </w:rPr>
      </w:pPr>
      <w:r>
        <w:rPr>
          <w:rFonts w:hint="eastAsia" w:ascii="仿宋_GB2312" w:hAnsi="仿宋_GB2312"/>
          <w:color w:val="auto"/>
          <w:sz w:val="72"/>
          <w:szCs w:val="72"/>
          <w:highlight w:val="none"/>
        </w:rPr>
        <w:t>竞争性谈判文件</w:t>
      </w:r>
    </w:p>
    <w:p>
      <w:pPr>
        <w:rPr>
          <w:rFonts w:ascii="宋体" w:hAnsi="宋体"/>
          <w:b/>
          <w:color w:val="auto"/>
          <w:szCs w:val="28"/>
          <w:highlight w:val="none"/>
        </w:rPr>
      </w:pPr>
    </w:p>
    <w:p>
      <w:pPr>
        <w:pStyle w:val="3"/>
        <w:spacing w:before="336" w:after="336"/>
        <w:rPr>
          <w:color w:val="auto"/>
          <w:highlight w:val="none"/>
        </w:rPr>
      </w:pPr>
    </w:p>
    <w:p>
      <w:pPr>
        <w:jc w:val="center"/>
        <w:rPr>
          <w:rFonts w:ascii="宋体" w:hAnsi="宋体"/>
          <w:b/>
          <w:color w:val="auto"/>
          <w:szCs w:val="28"/>
          <w:highlight w:val="none"/>
        </w:rPr>
      </w:pPr>
    </w:p>
    <w:p>
      <w:pPr>
        <w:jc w:val="center"/>
        <w:rPr>
          <w:rFonts w:ascii="宋体" w:hAnsi="宋体"/>
          <w:b/>
          <w:color w:val="auto"/>
          <w:szCs w:val="28"/>
          <w:highlight w:val="none"/>
        </w:rPr>
      </w:pPr>
      <w:r>
        <w:rPr>
          <w:rFonts w:hint="eastAsia" w:ascii="宋体" w:hAnsi="宋体"/>
          <w:b/>
          <w:color w:val="auto"/>
          <w:szCs w:val="28"/>
          <w:highlight w:val="none"/>
        </w:rPr>
        <w:t>凉山州兴德建设有限责任公司</w:t>
      </w:r>
    </w:p>
    <w:p>
      <w:pPr>
        <w:jc w:val="center"/>
        <w:rPr>
          <w:rFonts w:ascii="宋体" w:hAnsi="宋体"/>
          <w:b/>
          <w:color w:val="auto"/>
          <w:sz w:val="48"/>
          <w:szCs w:val="36"/>
          <w:highlight w:val="none"/>
        </w:rPr>
      </w:pPr>
      <w:r>
        <w:rPr>
          <w:rFonts w:hint="eastAsia" w:ascii="宋体" w:hAnsi="宋体"/>
          <w:b/>
          <w:color w:val="auto"/>
          <w:szCs w:val="28"/>
          <w:highlight w:val="none"/>
        </w:rPr>
        <w:t>2024年03月</w:t>
      </w:r>
    </w:p>
    <w:p>
      <w:pPr>
        <w:jc w:val="center"/>
        <w:rPr>
          <w:rFonts w:ascii="宋体" w:hAnsi="宋体"/>
          <w:b/>
          <w:color w:val="auto"/>
          <w:sz w:val="48"/>
          <w:szCs w:val="36"/>
          <w:highlight w:val="none"/>
        </w:rPr>
      </w:pPr>
      <w:r>
        <w:rPr>
          <w:rFonts w:hint="eastAsia" w:ascii="宋体" w:hAnsi="宋体"/>
          <w:b/>
          <w:color w:val="auto"/>
          <w:sz w:val="48"/>
          <w:szCs w:val="36"/>
          <w:highlight w:val="none"/>
        </w:rPr>
        <w:t>竞争性谈判邀请书</w:t>
      </w:r>
    </w:p>
    <w:p>
      <w:pPr>
        <w:jc w:val="center"/>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（适用于邀请不特定潜在投标人）</w:t>
      </w:r>
    </w:p>
    <w:p>
      <w:pPr>
        <w:rPr>
          <w:rFonts w:ascii="宋体" w:hAnsi="宋体" w:cs="宋体"/>
          <w:b/>
          <w:color w:val="auto"/>
          <w:szCs w:val="28"/>
          <w:highlight w:val="none"/>
          <w:u w:val="single"/>
        </w:rPr>
      </w:pPr>
      <w:r>
        <w:rPr>
          <w:rFonts w:hint="eastAsia" w:ascii="宋体" w:hAnsi="宋体"/>
          <w:b/>
          <w:color w:val="auto"/>
          <w:szCs w:val="28"/>
          <w:highlight w:val="none"/>
        </w:rPr>
        <w:t>致：</w:t>
      </w:r>
      <w:r>
        <w:rPr>
          <w:rFonts w:hint="eastAsia" w:ascii="宋体" w:hAnsi="宋体"/>
          <w:b/>
          <w:color w:val="auto"/>
          <w:szCs w:val="28"/>
          <w:highlight w:val="none"/>
          <w:u w:val="single"/>
        </w:rPr>
        <w:t>各潜在投标人</w:t>
      </w:r>
    </w:p>
    <w:p>
      <w:pPr>
        <w:ind w:firstLine="560" w:firstLineChars="200"/>
        <w:rPr>
          <w:rFonts w:ascii="宋体" w:hAnsi="宋体"/>
          <w:color w:val="auto"/>
          <w:szCs w:val="28"/>
          <w:highlight w:val="none"/>
        </w:rPr>
      </w:pPr>
      <w:r>
        <w:rPr>
          <w:rFonts w:hint="eastAsia" w:ascii="宋体" w:hAnsi="宋体"/>
          <w:color w:val="auto"/>
          <w:szCs w:val="28"/>
          <w:highlight w:val="none"/>
          <w:u w:val="single"/>
        </w:rPr>
        <w:t>凉山州兴德建设有限责任公司关于采用竞争性谈判方式选取德昌县南环线建设工程（东段）安宁河特大桥已完工程实体检测单位</w:t>
      </w:r>
      <w:r>
        <w:rPr>
          <w:rFonts w:hint="eastAsia" w:ascii="宋体" w:hAnsi="宋体"/>
          <w:color w:val="auto"/>
          <w:szCs w:val="28"/>
          <w:highlight w:val="none"/>
        </w:rPr>
        <w:t>（事项名称）已批准实施。</w:t>
      </w:r>
    </w:p>
    <w:p>
      <w:pPr>
        <w:tabs>
          <w:tab w:val="left" w:pos="1000"/>
        </w:tabs>
        <w:spacing w:line="680" w:lineRule="exact"/>
        <w:ind w:firstLine="560" w:firstLineChars="200"/>
        <w:rPr>
          <w:rFonts w:ascii="宋体" w:hAnsi="宋体"/>
          <w:color w:val="auto"/>
          <w:szCs w:val="28"/>
          <w:highlight w:val="none"/>
        </w:rPr>
      </w:pPr>
      <w:r>
        <w:rPr>
          <w:rFonts w:hint="eastAsia" w:ascii="宋体" w:hAnsi="宋体"/>
          <w:color w:val="auto"/>
          <w:szCs w:val="28"/>
          <w:highlight w:val="none"/>
        </w:rPr>
        <w:t>请收到本邀请书后，填写回执单（附件一），并于</w:t>
      </w:r>
      <w:r>
        <w:rPr>
          <w:rFonts w:hint="eastAsia"/>
          <w:color w:val="auto"/>
          <w:highlight w:val="none"/>
          <w:u w:val="single"/>
        </w:rPr>
        <w:t>2024年03月</w:t>
      </w:r>
      <w:r>
        <w:rPr>
          <w:rFonts w:hint="eastAsia"/>
          <w:color w:val="auto"/>
          <w:highlight w:val="none"/>
          <w:u w:val="single"/>
          <w:lang w:val="en-US" w:eastAsia="zh-CN"/>
        </w:rPr>
        <w:t>20</w:t>
      </w:r>
      <w:r>
        <w:rPr>
          <w:rFonts w:hint="eastAsia"/>
          <w:color w:val="auto"/>
          <w:highlight w:val="none"/>
          <w:u w:val="single"/>
        </w:rPr>
        <w:t>日1</w:t>
      </w:r>
      <w:r>
        <w:rPr>
          <w:rFonts w:hint="eastAsia"/>
          <w:color w:val="auto"/>
          <w:highlight w:val="none"/>
          <w:u w:val="single"/>
          <w:lang w:val="en-US" w:eastAsia="zh-CN"/>
        </w:rPr>
        <w:t>5</w:t>
      </w:r>
      <w:r>
        <w:rPr>
          <w:rFonts w:hint="eastAsia"/>
          <w:color w:val="auto"/>
          <w:highlight w:val="none"/>
          <w:u w:val="single"/>
        </w:rPr>
        <w:t>:00前</w:t>
      </w:r>
      <w:r>
        <w:rPr>
          <w:rFonts w:hint="eastAsia" w:ascii="宋体" w:hAnsi="宋体"/>
          <w:color w:val="auto"/>
          <w:szCs w:val="28"/>
          <w:highlight w:val="none"/>
        </w:rPr>
        <w:t>将原件交回我方。</w:t>
      </w:r>
    </w:p>
    <w:p>
      <w:pPr>
        <w:tabs>
          <w:tab w:val="left" w:pos="1000"/>
        </w:tabs>
        <w:spacing w:line="480" w:lineRule="auto"/>
        <w:ind w:firstLine="560" w:firstLineChars="200"/>
        <w:rPr>
          <w:rFonts w:ascii="宋体" w:hAnsi="宋体"/>
          <w:color w:val="auto"/>
          <w:szCs w:val="28"/>
          <w:highlight w:val="none"/>
        </w:rPr>
      </w:pPr>
      <w:r>
        <w:rPr>
          <w:rFonts w:hint="eastAsia" w:ascii="宋体" w:hAnsi="宋体"/>
          <w:color w:val="auto"/>
          <w:szCs w:val="28"/>
          <w:highlight w:val="none"/>
        </w:rPr>
        <w:t>谈判申请人应按《竞争性谈判文件》中要求提供的资料装订成册，制作好完整的竞争性谈判申请书在规定时间及地点递交。</w:t>
      </w:r>
    </w:p>
    <w:p>
      <w:pPr>
        <w:spacing w:line="480" w:lineRule="auto"/>
        <w:ind w:left="476" w:leftChars="170"/>
        <w:rPr>
          <w:color w:val="auto"/>
          <w:szCs w:val="28"/>
          <w:highlight w:val="none"/>
          <w:u w:val="single"/>
        </w:rPr>
      </w:pPr>
      <w:r>
        <w:rPr>
          <w:rFonts w:hint="eastAsia" w:ascii="宋体" w:hAnsi="宋体"/>
          <w:color w:val="auto"/>
          <w:szCs w:val="28"/>
          <w:highlight w:val="none"/>
        </w:rPr>
        <w:t>竞争性谈判文件递交地点：</w:t>
      </w:r>
      <w:r>
        <w:rPr>
          <w:rFonts w:hint="eastAsia"/>
          <w:color w:val="auto"/>
          <w:highlight w:val="none"/>
          <w:u w:val="single"/>
        </w:rPr>
        <w:t>凉山州兴德建设有限责任公司（德昌县德泰家院幸福里3栋1单元18-1办公室）。</w:t>
      </w:r>
    </w:p>
    <w:p>
      <w:pPr>
        <w:tabs>
          <w:tab w:val="left" w:pos="1000"/>
        </w:tabs>
        <w:spacing w:line="480" w:lineRule="auto"/>
        <w:ind w:firstLine="560" w:firstLineChars="200"/>
        <w:rPr>
          <w:rFonts w:ascii="宋体" w:hAnsi="宋体"/>
          <w:color w:val="auto"/>
          <w:szCs w:val="28"/>
          <w:highlight w:val="none"/>
        </w:rPr>
      </w:pPr>
      <w:r>
        <w:rPr>
          <w:rFonts w:hint="eastAsia" w:ascii="宋体" w:hAnsi="宋体"/>
          <w:color w:val="auto"/>
          <w:szCs w:val="28"/>
          <w:highlight w:val="none"/>
        </w:rPr>
        <w:t>竞争性谈判时间：</w:t>
      </w:r>
      <w:r>
        <w:rPr>
          <w:rFonts w:hint="eastAsia" w:ascii="宋体" w:hAnsi="宋体"/>
          <w:color w:val="auto"/>
          <w:szCs w:val="28"/>
          <w:highlight w:val="none"/>
          <w:u w:val="single"/>
        </w:rPr>
        <w:t>2024年03月</w:t>
      </w:r>
      <w:r>
        <w:rPr>
          <w:rFonts w:hint="eastAsia" w:ascii="宋体" w:hAnsi="宋体"/>
          <w:color w:val="auto"/>
          <w:szCs w:val="28"/>
          <w:highlight w:val="none"/>
          <w:u w:val="single"/>
          <w:lang w:val="en-US" w:eastAsia="zh-CN"/>
        </w:rPr>
        <w:t>20</w:t>
      </w:r>
      <w:r>
        <w:rPr>
          <w:rFonts w:hint="eastAsia"/>
          <w:color w:val="auto"/>
          <w:highlight w:val="none"/>
          <w:u w:val="single"/>
        </w:rPr>
        <w:t>日1</w:t>
      </w:r>
      <w:r>
        <w:rPr>
          <w:rFonts w:hint="eastAsia"/>
          <w:color w:val="auto"/>
          <w:highlight w:val="none"/>
          <w:u w:val="single"/>
          <w:lang w:val="en-US" w:eastAsia="zh-CN"/>
        </w:rPr>
        <w:t>5</w:t>
      </w:r>
      <w:r>
        <w:rPr>
          <w:rFonts w:hint="eastAsia"/>
          <w:color w:val="auto"/>
          <w:highlight w:val="none"/>
          <w:u w:val="single"/>
        </w:rPr>
        <w:t>:00</w:t>
      </w:r>
    </w:p>
    <w:p>
      <w:pPr>
        <w:spacing w:line="480" w:lineRule="auto"/>
        <w:ind w:firstLine="560" w:firstLineChars="200"/>
        <w:rPr>
          <w:rFonts w:ascii="宋体" w:hAnsi="宋体"/>
          <w:color w:val="auto"/>
          <w:szCs w:val="28"/>
          <w:highlight w:val="none"/>
        </w:rPr>
      </w:pPr>
      <w:r>
        <w:rPr>
          <w:rFonts w:hint="eastAsia" w:ascii="宋体" w:hAnsi="宋体"/>
          <w:color w:val="auto"/>
          <w:szCs w:val="28"/>
          <w:highlight w:val="none"/>
        </w:rPr>
        <w:t>采购方：</w:t>
      </w:r>
      <w:r>
        <w:rPr>
          <w:rFonts w:hint="eastAsia" w:ascii="宋体" w:hAnsi="宋体"/>
          <w:color w:val="auto"/>
          <w:szCs w:val="28"/>
          <w:highlight w:val="none"/>
          <w:u w:val="single"/>
        </w:rPr>
        <w:t>凉山州兴德建设有限责任公司</w:t>
      </w:r>
    </w:p>
    <w:p>
      <w:pPr>
        <w:spacing w:line="480" w:lineRule="auto"/>
        <w:ind w:firstLine="560" w:firstLineChars="200"/>
        <w:rPr>
          <w:rFonts w:ascii="宋体" w:hAnsi="宋体"/>
          <w:color w:val="auto"/>
          <w:szCs w:val="28"/>
          <w:highlight w:val="none"/>
        </w:rPr>
      </w:pPr>
      <w:r>
        <w:rPr>
          <w:rFonts w:hint="eastAsia" w:ascii="宋体" w:hAnsi="宋体"/>
          <w:color w:val="auto"/>
          <w:szCs w:val="28"/>
          <w:highlight w:val="none"/>
        </w:rPr>
        <w:t xml:space="preserve">联系电话： </w:t>
      </w:r>
      <w:r>
        <w:rPr>
          <w:rFonts w:hint="eastAsia" w:ascii="宋体" w:hAnsi="宋体"/>
          <w:color w:val="auto"/>
          <w:szCs w:val="28"/>
          <w:highlight w:val="none"/>
          <w:u w:val="single"/>
        </w:rPr>
        <w:t xml:space="preserve">    15729797610     </w:t>
      </w:r>
      <w:r>
        <w:rPr>
          <w:rFonts w:hint="eastAsia" w:ascii="宋体" w:hAnsi="宋体"/>
          <w:color w:val="auto"/>
          <w:szCs w:val="28"/>
          <w:highlight w:val="none"/>
        </w:rPr>
        <w:t xml:space="preserve">    </w:t>
      </w:r>
    </w:p>
    <w:p>
      <w:pPr>
        <w:rPr>
          <w:rFonts w:ascii="宋体" w:hAnsi="宋体"/>
          <w:color w:val="auto"/>
          <w:szCs w:val="28"/>
          <w:highlight w:val="none"/>
        </w:rPr>
      </w:pPr>
    </w:p>
    <w:p>
      <w:pPr>
        <w:jc w:val="center"/>
        <w:rPr>
          <w:rFonts w:ascii="宋体" w:hAnsi="宋体"/>
          <w:color w:val="auto"/>
          <w:szCs w:val="28"/>
          <w:highlight w:val="none"/>
        </w:rPr>
      </w:pPr>
      <w:r>
        <w:rPr>
          <w:rFonts w:hint="eastAsia" w:ascii="宋体" w:hAnsi="宋体"/>
          <w:color w:val="auto"/>
          <w:szCs w:val="28"/>
          <w:highlight w:val="none"/>
        </w:rPr>
        <w:t xml:space="preserve">                             </w:t>
      </w:r>
    </w:p>
    <w:p>
      <w:pPr>
        <w:jc w:val="center"/>
        <w:rPr>
          <w:rFonts w:ascii="宋体" w:hAnsi="宋体"/>
          <w:color w:val="auto"/>
          <w:sz w:val="36"/>
          <w:szCs w:val="36"/>
          <w:highlight w:val="none"/>
          <w:u w:val="single"/>
        </w:rPr>
      </w:pPr>
      <w:r>
        <w:rPr>
          <w:rFonts w:hint="eastAsia"/>
          <w:color w:val="auto"/>
          <w:szCs w:val="28"/>
          <w:highlight w:val="none"/>
        </w:rPr>
        <w:t xml:space="preserve">                      凉山州兴德建设有限责任公司</w:t>
      </w:r>
    </w:p>
    <w:p>
      <w:pPr>
        <w:jc w:val="center"/>
        <w:rPr>
          <w:rFonts w:ascii="宋体" w:hAnsi="宋体"/>
          <w:color w:val="auto"/>
          <w:sz w:val="36"/>
          <w:szCs w:val="36"/>
          <w:highlight w:val="none"/>
          <w:u w:val="single"/>
        </w:rPr>
      </w:pPr>
      <w:r>
        <w:rPr>
          <w:rFonts w:hint="eastAsia" w:ascii="宋体" w:hAnsi="宋体"/>
          <w:color w:val="auto"/>
          <w:szCs w:val="28"/>
          <w:highlight w:val="none"/>
        </w:rPr>
        <w:t xml:space="preserve">                       2024年03月</w:t>
      </w:r>
      <w:r>
        <w:rPr>
          <w:rFonts w:hint="eastAsia" w:ascii="宋体" w:hAnsi="宋体"/>
          <w:color w:val="auto"/>
          <w:szCs w:val="28"/>
          <w:highlight w:val="none"/>
          <w:lang w:val="en-US" w:eastAsia="zh-CN"/>
        </w:rPr>
        <w:t>15</w:t>
      </w:r>
      <w:r>
        <w:rPr>
          <w:rFonts w:hint="eastAsia" w:ascii="宋体" w:hAnsi="宋体"/>
          <w:color w:val="auto"/>
          <w:szCs w:val="28"/>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4"/>
        <w:ind w:left="560"/>
        <w:rPr>
          <w:color w:val="auto"/>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附件一</w:t>
      </w:r>
    </w:p>
    <w:p>
      <w:pPr>
        <w:jc w:val="center"/>
        <w:rPr>
          <w:rFonts w:ascii="宋体" w:hAnsi="宋体"/>
          <w:b/>
          <w:color w:val="auto"/>
          <w:sz w:val="44"/>
          <w:szCs w:val="44"/>
          <w:highlight w:val="none"/>
        </w:rPr>
      </w:pPr>
      <w:r>
        <w:rPr>
          <w:rFonts w:hint="eastAsia" w:ascii="宋体" w:hAnsi="宋体"/>
          <w:b/>
          <w:color w:val="auto"/>
          <w:sz w:val="44"/>
          <w:szCs w:val="44"/>
          <w:highlight w:val="none"/>
        </w:rPr>
        <w:t>回 执 单</w:t>
      </w:r>
    </w:p>
    <w:p>
      <w:pPr>
        <w:rPr>
          <w:rFonts w:ascii="宋体" w:hAnsi="宋体"/>
          <w:color w:val="auto"/>
          <w:szCs w:val="21"/>
          <w:highlight w:val="none"/>
        </w:rPr>
      </w:pPr>
    </w:p>
    <w:p>
      <w:pPr>
        <w:rPr>
          <w:rFonts w:ascii="宋体" w:hAnsi="宋体"/>
          <w:color w:val="auto"/>
          <w:szCs w:val="28"/>
          <w:highlight w:val="none"/>
        </w:rPr>
      </w:pPr>
      <w:r>
        <w:rPr>
          <w:rFonts w:hint="eastAsia" w:ascii="宋体" w:hAnsi="宋体"/>
          <w:color w:val="auto"/>
          <w:szCs w:val="28"/>
          <w:highlight w:val="none"/>
          <w:u w:val="single"/>
        </w:rPr>
        <w:t>凉山州兴德建设有限责任公司</w:t>
      </w:r>
      <w:r>
        <w:rPr>
          <w:rFonts w:hint="eastAsia" w:ascii="宋体" w:hAnsi="宋体"/>
          <w:color w:val="auto"/>
          <w:szCs w:val="28"/>
          <w:highlight w:val="none"/>
        </w:rPr>
        <w:t>：</w:t>
      </w:r>
    </w:p>
    <w:p>
      <w:pPr>
        <w:ind w:firstLine="840" w:firstLineChars="300"/>
        <w:rPr>
          <w:rFonts w:ascii="宋体" w:hAnsi="宋体"/>
          <w:color w:val="auto"/>
          <w:szCs w:val="28"/>
          <w:highlight w:val="none"/>
        </w:rPr>
      </w:pPr>
      <w:r>
        <w:rPr>
          <w:rFonts w:hint="eastAsia" w:ascii="宋体" w:hAnsi="宋体"/>
          <w:color w:val="auto"/>
          <w:szCs w:val="28"/>
          <w:highlight w:val="none"/>
        </w:rPr>
        <w:t>贵公司于</w:t>
      </w:r>
      <w:r>
        <w:rPr>
          <w:rFonts w:hint="eastAsia" w:ascii="宋体" w:hAnsi="宋体"/>
          <w:color w:val="auto"/>
          <w:szCs w:val="28"/>
          <w:highlight w:val="none"/>
          <w:u w:val="single"/>
        </w:rPr>
        <w:t xml:space="preserve">     </w:t>
      </w:r>
      <w:r>
        <w:rPr>
          <w:rFonts w:hint="eastAsia" w:ascii="宋体" w:hAnsi="宋体"/>
          <w:color w:val="auto"/>
          <w:szCs w:val="28"/>
          <w:highlight w:val="none"/>
        </w:rPr>
        <w:t>年</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rPr>
        <w:t>日发出的</w:t>
      </w:r>
      <w:r>
        <w:rPr>
          <w:rFonts w:hint="eastAsia" w:ascii="宋体" w:hAnsi="宋体"/>
          <w:color w:val="auto"/>
          <w:szCs w:val="28"/>
          <w:highlight w:val="none"/>
          <w:u w:val="single"/>
        </w:rPr>
        <w:t>凉山州兴德建设有限责任公司关于采用竞争性谈判的方式选取德昌县南环线建设工程（东段）安宁河特大桥已完工程实体检测单位（事项名称）</w:t>
      </w:r>
      <w:r>
        <w:rPr>
          <w:rFonts w:hint="eastAsia" w:ascii="宋体" w:hAnsi="宋体"/>
          <w:color w:val="auto"/>
          <w:szCs w:val="28"/>
          <w:highlight w:val="none"/>
        </w:rPr>
        <w:t>已收悉，经我单位认真研究，决定接受贵公司的邀请，参加</w:t>
      </w:r>
      <w:r>
        <w:rPr>
          <w:rFonts w:hint="eastAsia" w:ascii="宋体" w:hAnsi="宋体"/>
          <w:color w:val="auto"/>
          <w:szCs w:val="28"/>
          <w:highlight w:val="none"/>
          <w:u w:val="single"/>
        </w:rPr>
        <w:t>凉山州兴德建设有限责任公司关于采用竞争性谈判的方式选取德昌县南环线建设工程（东段）安宁河特大桥已完工程实体检测单位</w:t>
      </w:r>
      <w:r>
        <w:rPr>
          <w:rFonts w:hint="eastAsia" w:ascii="宋体" w:hAnsi="宋体"/>
          <w:color w:val="auto"/>
          <w:szCs w:val="28"/>
          <w:highlight w:val="none"/>
        </w:rPr>
        <w:t>的竞争性谈判，并严格按邀请书的要求准备材料，按时参加谈判会议。</w:t>
      </w:r>
    </w:p>
    <w:p>
      <w:pPr>
        <w:rPr>
          <w:rFonts w:ascii="宋体" w:hAnsi="宋体"/>
          <w:color w:val="auto"/>
          <w:szCs w:val="28"/>
          <w:highlight w:val="none"/>
        </w:rPr>
      </w:pPr>
    </w:p>
    <w:p>
      <w:pPr>
        <w:pStyle w:val="3"/>
        <w:spacing w:before="336" w:after="336"/>
        <w:rPr>
          <w:rFonts w:ascii="宋体" w:hAnsi="宋体"/>
          <w:color w:val="auto"/>
          <w:highlight w:val="none"/>
        </w:rPr>
      </w:pPr>
    </w:p>
    <w:p>
      <w:pPr>
        <w:pStyle w:val="3"/>
        <w:spacing w:before="336" w:after="336"/>
        <w:rPr>
          <w:color w:val="auto"/>
          <w:highlight w:val="none"/>
        </w:rPr>
      </w:pPr>
    </w:p>
    <w:p>
      <w:pPr>
        <w:ind w:firstLine="2800" w:firstLineChars="1000"/>
        <w:jc w:val="both"/>
        <w:rPr>
          <w:rFonts w:ascii="宋体" w:hAnsi="宋体"/>
          <w:color w:val="auto"/>
          <w:szCs w:val="28"/>
          <w:highlight w:val="none"/>
        </w:rPr>
      </w:pPr>
      <w:r>
        <w:rPr>
          <w:rFonts w:hint="eastAsia" w:ascii="宋体" w:hAnsi="宋体"/>
          <w:color w:val="auto"/>
          <w:szCs w:val="28"/>
          <w:highlight w:val="none"/>
        </w:rPr>
        <w:t>投标人：（盖章）</w:t>
      </w:r>
    </w:p>
    <w:p>
      <w:pPr>
        <w:ind w:firstLine="2800" w:firstLineChars="1000"/>
        <w:rPr>
          <w:rFonts w:ascii="宋体" w:hAnsi="宋体"/>
          <w:color w:val="auto"/>
          <w:szCs w:val="28"/>
          <w:highlight w:val="none"/>
        </w:rPr>
      </w:pPr>
      <w:r>
        <w:rPr>
          <w:rFonts w:hint="eastAsia" w:ascii="宋体" w:hAnsi="宋体"/>
          <w:color w:val="auto"/>
          <w:szCs w:val="28"/>
          <w:highlight w:val="none"/>
        </w:rPr>
        <w:t>法定代表人：</w:t>
      </w:r>
    </w:p>
    <w:p>
      <w:pPr>
        <w:ind w:firstLine="2800" w:firstLineChars="1000"/>
        <w:rPr>
          <w:rFonts w:ascii="宋体" w:hAnsi="宋体"/>
          <w:color w:val="auto"/>
          <w:szCs w:val="28"/>
          <w:highlight w:val="none"/>
        </w:rPr>
      </w:pPr>
      <w:r>
        <w:rPr>
          <w:rFonts w:hint="eastAsia" w:ascii="宋体" w:hAnsi="宋体"/>
          <w:color w:val="auto"/>
          <w:szCs w:val="28"/>
          <w:highlight w:val="none"/>
        </w:rPr>
        <w:t>联系人：</w:t>
      </w:r>
    </w:p>
    <w:p>
      <w:pPr>
        <w:ind w:firstLine="2800" w:firstLineChars="1000"/>
        <w:rPr>
          <w:rFonts w:ascii="宋体" w:hAnsi="宋体"/>
          <w:color w:val="auto"/>
          <w:szCs w:val="28"/>
          <w:highlight w:val="none"/>
        </w:rPr>
      </w:pPr>
      <w:r>
        <w:rPr>
          <w:rFonts w:hint="eastAsia" w:ascii="宋体" w:hAnsi="宋体"/>
          <w:color w:val="auto"/>
          <w:szCs w:val="28"/>
          <w:highlight w:val="none"/>
        </w:rPr>
        <w:t>电话：</w:t>
      </w:r>
    </w:p>
    <w:p>
      <w:pPr>
        <w:ind w:firstLine="2800" w:firstLineChars="1000"/>
        <w:rPr>
          <w:rFonts w:ascii="宋体" w:hAnsi="宋体"/>
          <w:color w:val="auto"/>
          <w:szCs w:val="28"/>
          <w:highlight w:val="none"/>
        </w:rPr>
      </w:pPr>
      <w:r>
        <w:rPr>
          <w:rFonts w:hint="eastAsia" w:ascii="宋体" w:hAnsi="宋体"/>
          <w:color w:val="auto"/>
          <w:szCs w:val="28"/>
          <w:highlight w:val="none"/>
        </w:rPr>
        <w:t>邮箱：</w:t>
      </w:r>
    </w:p>
    <w:p>
      <w:pPr>
        <w:ind w:firstLine="3500" w:firstLineChars="1250"/>
        <w:rPr>
          <w:rFonts w:ascii="宋体" w:hAnsi="宋体"/>
          <w:color w:val="auto"/>
          <w:szCs w:val="28"/>
          <w:highlight w:val="none"/>
        </w:rPr>
      </w:pPr>
      <w:r>
        <w:rPr>
          <w:rFonts w:hint="eastAsia" w:ascii="宋体" w:hAnsi="宋体"/>
          <w:color w:val="auto"/>
          <w:szCs w:val="28"/>
          <w:highlight w:val="none"/>
        </w:rPr>
        <w:t>日期：</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年 </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月 </w:t>
      </w:r>
      <w:r>
        <w:rPr>
          <w:rFonts w:hint="eastAsia" w:ascii="宋体" w:hAnsi="宋体"/>
          <w:color w:val="auto"/>
          <w:szCs w:val="28"/>
          <w:highlight w:val="none"/>
          <w:u w:val="single"/>
        </w:rPr>
        <w:t xml:space="preserve">    </w:t>
      </w:r>
      <w:r>
        <w:rPr>
          <w:rFonts w:hint="eastAsia" w:ascii="宋体" w:hAnsi="宋体"/>
          <w:color w:val="auto"/>
          <w:szCs w:val="28"/>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宋体" w:hAnsi="宋体"/>
          <w:b/>
          <w:color w:val="auto"/>
          <w:sz w:val="24"/>
          <w:highlight w:val="none"/>
        </w:rPr>
      </w:pPr>
      <w:r>
        <w:rPr>
          <w:rFonts w:hint="eastAsia" w:ascii="宋体" w:hAnsi="宋体"/>
          <w:color w:val="auto"/>
          <w:sz w:val="24"/>
          <w:highlight w:val="none"/>
        </w:rPr>
        <w:t>附件二</w:t>
      </w:r>
    </w:p>
    <w:p>
      <w:pPr>
        <w:jc w:val="center"/>
        <w:rPr>
          <w:rFonts w:ascii="宋体" w:hAnsi="宋体"/>
          <w:b/>
          <w:color w:val="auto"/>
          <w:szCs w:val="32"/>
          <w:highlight w:val="none"/>
        </w:rPr>
      </w:pPr>
      <w:r>
        <w:rPr>
          <w:rFonts w:hint="eastAsia" w:ascii="宋体" w:hAnsi="宋体"/>
          <w:b/>
          <w:color w:val="auto"/>
          <w:szCs w:val="32"/>
          <w:highlight w:val="none"/>
        </w:rPr>
        <w:t>授权委托书</w:t>
      </w:r>
    </w:p>
    <w:p>
      <w:pPr>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（投标人名称）的法定代表人，现委托本单位人员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（事项名称）</w:t>
      </w:r>
      <w:r>
        <w:rPr>
          <w:rFonts w:hint="eastAsia" w:ascii="宋体" w:hAnsi="宋体"/>
          <w:color w:val="auto"/>
          <w:sz w:val="24"/>
          <w:highlight w:val="none"/>
          <w:u w:val="single"/>
        </w:rPr>
        <w:t xml:space="preserve">            </w:t>
      </w:r>
      <w:r>
        <w:rPr>
          <w:rFonts w:hint="eastAsia" w:ascii="宋体" w:hAnsi="宋体"/>
          <w:color w:val="auto"/>
          <w:sz w:val="24"/>
          <w:highlight w:val="none"/>
        </w:rPr>
        <w:t>的竞争性谈判、签订合同和处理有关事宜（向有关行政监督部门投诉另行授权），其法律后果由我方承担。</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委托期限：自本授权委托书签署之日起至该项工作结束为止。</w:t>
      </w:r>
    </w:p>
    <w:p>
      <w:pPr>
        <w:spacing w:line="360" w:lineRule="auto"/>
        <w:ind w:firstLine="1740" w:firstLineChars="725"/>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2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附：（1）法定代表人身份证复印件</w:t>
      </w:r>
    </w:p>
    <w:p>
      <w:pPr>
        <w:spacing w:line="360" w:lineRule="auto"/>
        <w:rPr>
          <w:rFonts w:ascii="宋体" w:hAnsi="宋体"/>
          <w:color w:val="auto"/>
          <w:sz w:val="24"/>
          <w:highlight w:val="none"/>
        </w:rPr>
      </w:pPr>
      <w:r>
        <w:rPr>
          <w:rFonts w:hint="eastAsia" w:ascii="宋体" w:hAnsi="宋体"/>
          <w:color w:val="auto"/>
          <w:sz w:val="24"/>
          <w:highlight w:val="none"/>
        </w:rPr>
        <w:t xml:space="preserve">       （2）委托代理人身份证原件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w:t>
      </w:r>
      <w:r>
        <w:rPr>
          <w:rFonts w:hint="eastAsia" w:ascii="宋体" w:hAnsi="宋体"/>
          <w:color w:val="auto"/>
          <w:sz w:val="24"/>
          <w:highlight w:val="none"/>
        </w:rPr>
        <w:t>（固定电话）</w:t>
      </w:r>
      <w:r>
        <w:rPr>
          <w:rFonts w:hint="eastAsia" w:ascii="宋体" w:hAnsi="宋体"/>
          <w:color w:val="auto"/>
          <w:sz w:val="24"/>
          <w:highlight w:val="none"/>
          <w:u w:val="single"/>
        </w:rPr>
        <w:t xml:space="preserve">                 </w:t>
      </w:r>
      <w:r>
        <w:rPr>
          <w:rFonts w:hint="eastAsia" w:ascii="宋体" w:hAnsi="宋体"/>
          <w:color w:val="auto"/>
          <w:sz w:val="24"/>
          <w:highlight w:val="none"/>
        </w:rPr>
        <w:t>（移动电话）</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ind w:firstLine="720" w:firstLineChars="300"/>
        <w:rPr>
          <w:rFonts w:ascii="宋体" w:hAnsi="宋体"/>
          <w:color w:val="auto"/>
          <w:sz w:val="24"/>
          <w:highlight w:val="none"/>
        </w:rPr>
      </w:pPr>
      <w:r>
        <w:rPr>
          <w:rFonts w:hint="eastAsia" w:ascii="宋体" w:hAnsi="宋体"/>
          <w:color w:val="auto"/>
          <w:sz w:val="24"/>
          <w:highlight w:val="none"/>
        </w:rPr>
        <w:t>注:(1)  法定代表人不亲自投标而委托代理人投标适用。</w:t>
      </w:r>
    </w:p>
    <w:p>
      <w:pPr>
        <w:ind w:firstLine="1080" w:firstLineChars="450"/>
        <w:rPr>
          <w:rFonts w:ascii="宋体" w:hAnsi="宋体"/>
          <w:color w:val="auto"/>
          <w:sz w:val="24"/>
          <w:highlight w:val="none"/>
        </w:rPr>
      </w:pPr>
      <w:r>
        <w:rPr>
          <w:rFonts w:hint="eastAsia" w:ascii="宋体" w:hAnsi="宋体"/>
          <w:color w:val="auto"/>
          <w:sz w:val="24"/>
          <w:highlight w:val="none"/>
        </w:rPr>
        <w:t>(2)  法定代表人委托他人投标的，委托代理人应是投标人本单位的人员。</w:t>
      </w:r>
    </w:p>
    <w:p>
      <w:pPr>
        <w:ind w:firstLine="1080" w:firstLineChars="450"/>
        <w:rPr>
          <w:rFonts w:ascii="宋体" w:hAnsi="宋体"/>
          <w:color w:val="auto"/>
          <w:sz w:val="24"/>
          <w:highlight w:val="none"/>
        </w:rPr>
      </w:pPr>
      <w:r>
        <w:rPr>
          <w:rFonts w:hint="eastAsia" w:ascii="宋体" w:hAnsi="宋体"/>
          <w:color w:val="auto"/>
          <w:sz w:val="24"/>
          <w:highlight w:val="none"/>
        </w:rPr>
        <w:t>(3)  委托代理人在递交投标文件时，应携带投标人企业法人资格证明</w:t>
      </w:r>
    </w:p>
    <w:p>
      <w:pPr>
        <w:ind w:firstLine="1680" w:firstLineChars="700"/>
        <w:rPr>
          <w:rFonts w:ascii="宋体" w:hAnsi="宋体"/>
          <w:color w:val="auto"/>
          <w:sz w:val="24"/>
          <w:highlight w:val="none"/>
        </w:rPr>
      </w:pPr>
      <w:r>
        <w:rPr>
          <w:rFonts w:hint="eastAsia" w:ascii="宋体" w:hAnsi="宋体"/>
          <w:color w:val="auto"/>
          <w:sz w:val="24"/>
          <w:highlight w:val="none"/>
        </w:rPr>
        <w:t>原件和委托代理人身份证原件。</w:t>
      </w:r>
    </w:p>
    <w:p>
      <w:pPr>
        <w:ind w:firstLine="1080" w:firstLineChars="450"/>
        <w:rPr>
          <w:rFonts w:ascii="宋体" w:hAnsi="宋体"/>
          <w:color w:val="auto"/>
          <w:sz w:val="24"/>
          <w:highlight w:val="none"/>
        </w:rPr>
      </w:pPr>
      <w:r>
        <w:rPr>
          <w:rFonts w:hint="eastAsia" w:ascii="宋体" w:hAnsi="宋体"/>
          <w:color w:val="auto"/>
          <w:sz w:val="24"/>
          <w:highlight w:val="none"/>
        </w:rPr>
        <w:t>(4)  委托代理人提供的证件、证明不齐或不符合要求的，投标文件不予接收。</w:t>
      </w:r>
    </w:p>
    <w:p>
      <w:pPr>
        <w:rPr>
          <w:color w:val="auto"/>
          <w:highlight w:val="none"/>
        </w:rPr>
      </w:pPr>
    </w:p>
    <w:p>
      <w:pPr>
        <w:pStyle w:val="2"/>
        <w:jc w:val="center"/>
        <w:rPr>
          <w:rFonts w:hint="default"/>
          <w:color w:val="auto"/>
          <w:sz w:val="44"/>
          <w:szCs w:val="44"/>
          <w:highlight w:val="none"/>
        </w:rPr>
      </w:pPr>
      <w:r>
        <w:rPr>
          <w:color w:val="auto"/>
          <w:sz w:val="44"/>
          <w:szCs w:val="44"/>
          <w:highlight w:val="none"/>
        </w:rPr>
        <w:t>《参选人须知文件》</w:t>
      </w:r>
    </w:p>
    <w:p>
      <w:pPr>
        <w:ind w:right="640"/>
        <w:jc w:val="center"/>
        <w:rPr>
          <w:rFonts w:ascii="宋体" w:hAnsi="宋体"/>
          <w:b/>
          <w:color w:val="auto"/>
          <w:sz w:val="32"/>
          <w:szCs w:val="32"/>
          <w:highlight w:val="none"/>
        </w:rPr>
      </w:pPr>
    </w:p>
    <w:p>
      <w:pPr>
        <w:jc w:val="center"/>
        <w:rPr>
          <w:rFonts w:ascii="宋体" w:hAnsi="宋体"/>
          <w:b/>
          <w:color w:val="auto"/>
          <w:sz w:val="48"/>
          <w:szCs w:val="36"/>
          <w:highlight w:val="none"/>
        </w:rPr>
      </w:pPr>
      <w:r>
        <w:rPr>
          <w:rFonts w:hint="eastAsia" w:ascii="宋体" w:hAnsi="宋体"/>
          <w:b/>
          <w:color w:val="auto"/>
          <w:sz w:val="48"/>
          <w:szCs w:val="36"/>
          <w:highlight w:val="none"/>
        </w:rPr>
        <w:t>第1章  竞争性谈判项目概况</w:t>
      </w:r>
    </w:p>
    <w:p>
      <w:pPr>
        <w:ind w:firstLine="560" w:firstLineChars="200"/>
        <w:rPr>
          <w:rFonts w:ascii="宋体" w:hAnsi="宋体"/>
          <w:bCs/>
          <w:color w:val="auto"/>
          <w:szCs w:val="28"/>
          <w:highlight w:val="none"/>
        </w:rPr>
      </w:pPr>
      <w:r>
        <w:rPr>
          <w:rFonts w:hint="eastAsia" w:ascii="宋体" w:hAnsi="宋体"/>
          <w:bCs/>
          <w:color w:val="auto"/>
          <w:szCs w:val="28"/>
          <w:highlight w:val="none"/>
        </w:rPr>
        <w:t>1、竞争性谈判项目的基本情况</w:t>
      </w:r>
    </w:p>
    <w:p>
      <w:pPr>
        <w:ind w:firstLine="560" w:firstLineChars="200"/>
        <w:rPr>
          <w:rFonts w:ascii="宋体" w:hAnsi="宋体"/>
          <w:color w:val="auto"/>
          <w:szCs w:val="28"/>
          <w:highlight w:val="none"/>
        </w:rPr>
      </w:pPr>
      <w:r>
        <w:rPr>
          <w:rFonts w:hint="eastAsia" w:ascii="宋体" w:hAnsi="宋体"/>
          <w:color w:val="auto"/>
          <w:szCs w:val="28"/>
          <w:highlight w:val="none"/>
        </w:rPr>
        <w:t>1.1 谈判人 (项目业主)：</w:t>
      </w:r>
      <w:r>
        <w:rPr>
          <w:rFonts w:hint="eastAsia" w:ascii="宋体" w:hAnsi="宋体"/>
          <w:color w:val="auto"/>
          <w:szCs w:val="28"/>
          <w:highlight w:val="none"/>
          <w:u w:val="single"/>
        </w:rPr>
        <w:t>凉山州兴德建设有限责任公司</w:t>
      </w:r>
    </w:p>
    <w:p>
      <w:pPr>
        <w:ind w:firstLine="560" w:firstLineChars="200"/>
        <w:rPr>
          <w:rFonts w:ascii="宋体" w:hAnsi="宋体"/>
          <w:color w:val="auto"/>
          <w:szCs w:val="28"/>
          <w:highlight w:val="none"/>
          <w:u w:val="single"/>
        </w:rPr>
      </w:pPr>
      <w:r>
        <w:rPr>
          <w:rFonts w:hint="eastAsia" w:ascii="宋体" w:hAnsi="宋体"/>
          <w:color w:val="auto"/>
          <w:szCs w:val="28"/>
          <w:highlight w:val="none"/>
        </w:rPr>
        <w:t>1.1.1事项名称：</w:t>
      </w:r>
      <w:r>
        <w:rPr>
          <w:rFonts w:hint="eastAsia" w:ascii="宋体" w:hAnsi="宋体"/>
          <w:color w:val="auto"/>
          <w:szCs w:val="28"/>
          <w:highlight w:val="none"/>
          <w:u w:val="single"/>
        </w:rPr>
        <w:t>凉山州兴德建设有限责任公司关于采用竞争性谈判的方式选德昌县南环线建设工程（东段）安宁河大桥已完工程实体检测单位。</w:t>
      </w:r>
    </w:p>
    <w:p>
      <w:pPr>
        <w:ind w:firstLine="560" w:firstLineChars="200"/>
        <w:rPr>
          <w:rFonts w:ascii="宋体" w:hAnsi="宋体"/>
          <w:color w:val="auto"/>
          <w:szCs w:val="28"/>
          <w:highlight w:val="none"/>
        </w:rPr>
      </w:pPr>
      <w:r>
        <w:rPr>
          <w:rFonts w:hint="eastAsia" w:ascii="宋体" w:hAnsi="宋体"/>
          <w:color w:val="auto"/>
          <w:szCs w:val="28"/>
          <w:highlight w:val="none"/>
        </w:rPr>
        <w:t>1.1.2工程概况：</w:t>
      </w:r>
    </w:p>
    <w:p>
      <w:pPr>
        <w:tabs>
          <w:tab w:val="left" w:pos="2984"/>
        </w:tabs>
        <w:ind w:firstLine="560" w:firstLineChars="200"/>
        <w:rPr>
          <w:color w:val="auto"/>
          <w:highlight w:val="none"/>
        </w:rPr>
      </w:pPr>
      <w:r>
        <w:rPr>
          <w:rFonts w:hint="eastAsia"/>
          <w:color w:val="auto"/>
          <w:highlight w:val="none"/>
        </w:rPr>
        <w:t>安宁河大桥位于德昌县德州街道，长约1.1公里，主跨为140m+140m独塔双索面斜拉桥，双向六车道，桥面宽度42米。</w:t>
      </w:r>
    </w:p>
    <w:p>
      <w:pPr>
        <w:tabs>
          <w:tab w:val="left" w:pos="2984"/>
        </w:tabs>
        <w:rPr>
          <w:color w:val="auto"/>
          <w:highlight w:val="none"/>
        </w:rPr>
      </w:pPr>
      <w:r>
        <w:rPr>
          <w:rFonts w:hint="eastAsia"/>
          <w:color w:val="auto"/>
          <w:highlight w:val="none"/>
        </w:rPr>
        <w:t>本次实体检测对本工程2023年12月4日前完成的0#桥台至25#墩的承台、桥台、墩柱、系梁等进行实体检测。具体详见下表：</w:t>
      </w:r>
    </w:p>
    <w:tbl>
      <w:tblPr>
        <w:tblStyle w:val="11"/>
        <w:tblW w:w="7800" w:type="dxa"/>
        <w:tblInd w:w="93" w:type="dxa"/>
        <w:tblLayout w:type="autofit"/>
        <w:tblCellMar>
          <w:top w:w="0" w:type="dxa"/>
          <w:left w:w="108" w:type="dxa"/>
          <w:bottom w:w="0" w:type="dxa"/>
          <w:right w:w="108" w:type="dxa"/>
        </w:tblCellMar>
      </w:tblPr>
      <w:tblGrid>
        <w:gridCol w:w="1316"/>
        <w:gridCol w:w="2600"/>
        <w:gridCol w:w="1316"/>
        <w:gridCol w:w="2578"/>
      </w:tblGrid>
      <w:tr>
        <w:tblPrEx>
          <w:tblCellMar>
            <w:top w:w="0" w:type="dxa"/>
            <w:left w:w="108" w:type="dxa"/>
            <w:bottom w:w="0" w:type="dxa"/>
            <w:right w:w="108" w:type="dxa"/>
          </w:tblCellMar>
        </w:tblPrEx>
        <w:trPr>
          <w:trHeight w:val="980" w:hRule="atLeast"/>
        </w:trPr>
        <w:tc>
          <w:tcPr>
            <w:tcW w:w="7810"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 w:val="36"/>
                <w:szCs w:val="36"/>
                <w:highlight w:val="none"/>
              </w:rPr>
            </w:pPr>
            <w:r>
              <w:rPr>
                <w:rFonts w:hint="eastAsia" w:ascii="宋体" w:hAnsi="宋体" w:cs="宋体"/>
                <w:color w:val="auto"/>
                <w:kern w:val="0"/>
                <w:sz w:val="36"/>
                <w:szCs w:val="36"/>
                <w:highlight w:val="none"/>
                <w:lang w:bidi="ar"/>
              </w:rPr>
              <w:t>已完成的工程实体统计表（2023.12.4前）</w:t>
            </w: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墩（台）号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墩（台）号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施工部位</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7#主墩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塔座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0#桥台</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左右幅垫石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侧墙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顶系梁/垫梁（右）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盖梁垫梁（左）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挡块（左）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垫层（右）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盖梁/垫梁（右）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挡块（右）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垫石（右）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顶系梁/垫梁（左）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顶系梁/垫梁（右）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墩柱(左）3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地系梁（左)</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墩柱（右3）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承台（右）</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顶系梁/垫梁（右）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地系梁（右）</w:t>
            </w:r>
          </w:p>
        </w:tc>
      </w:tr>
    </w:tbl>
    <w:p>
      <w:pPr>
        <w:rPr>
          <w:color w:val="auto"/>
          <w:highlight w:val="none"/>
        </w:rPr>
      </w:pPr>
    </w:p>
    <w:p>
      <w:pPr>
        <w:jc w:val="center"/>
        <w:rPr>
          <w:color w:val="auto"/>
          <w:highlight w:val="none"/>
        </w:rPr>
      </w:pPr>
      <w:r>
        <w:rPr>
          <w:rFonts w:hint="eastAsia"/>
          <w:color w:val="auto"/>
          <w:highlight w:val="none"/>
        </w:rPr>
        <w:t>工程量清单</w:t>
      </w:r>
    </w:p>
    <w:tbl>
      <w:tblPr>
        <w:tblStyle w:val="11"/>
        <w:tblW w:w="0" w:type="auto"/>
        <w:tblInd w:w="98" w:type="dxa"/>
        <w:tblLayout w:type="fixed"/>
        <w:tblCellMar>
          <w:top w:w="0" w:type="dxa"/>
          <w:left w:w="108" w:type="dxa"/>
          <w:bottom w:w="0" w:type="dxa"/>
          <w:right w:w="108" w:type="dxa"/>
        </w:tblCellMar>
      </w:tblPr>
      <w:tblGrid>
        <w:gridCol w:w="752"/>
        <w:gridCol w:w="423"/>
        <w:gridCol w:w="1354"/>
        <w:gridCol w:w="654"/>
        <w:gridCol w:w="654"/>
        <w:gridCol w:w="997"/>
        <w:gridCol w:w="1495"/>
        <w:gridCol w:w="1975"/>
      </w:tblGrid>
      <w:tr>
        <w:tblPrEx>
          <w:tblCellMar>
            <w:top w:w="0" w:type="dxa"/>
            <w:left w:w="108" w:type="dxa"/>
            <w:bottom w:w="0" w:type="dxa"/>
            <w:right w:w="108" w:type="dxa"/>
          </w:tblCellMar>
        </w:tblPrEx>
        <w:trPr>
          <w:trHeight w:val="360" w:hRule="atLeast"/>
        </w:trPr>
        <w:tc>
          <w:tcPr>
            <w:tcW w:w="117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序号</w:t>
            </w:r>
          </w:p>
        </w:tc>
        <w:tc>
          <w:tcPr>
            <w:tcW w:w="13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检测项目</w:t>
            </w:r>
          </w:p>
        </w:tc>
        <w:tc>
          <w:tcPr>
            <w:tcW w:w="6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单位</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检测</w:t>
            </w:r>
          </w:p>
        </w:tc>
        <w:tc>
          <w:tcPr>
            <w:tcW w:w="9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单价（元）</w:t>
            </w:r>
          </w:p>
        </w:tc>
        <w:tc>
          <w:tcPr>
            <w:tcW w:w="14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合计（元）</w:t>
            </w: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备注</w:t>
            </w:r>
          </w:p>
        </w:tc>
      </w:tr>
      <w:tr>
        <w:tblPrEx>
          <w:tblCellMar>
            <w:top w:w="0" w:type="dxa"/>
            <w:left w:w="108" w:type="dxa"/>
            <w:bottom w:w="0" w:type="dxa"/>
            <w:right w:w="108" w:type="dxa"/>
          </w:tblCellMar>
        </w:tblPrEx>
        <w:trPr>
          <w:trHeight w:val="496" w:hRule="atLeast"/>
        </w:trPr>
        <w:tc>
          <w:tcPr>
            <w:tcW w:w="117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3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6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数量</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330" w:hRule="atLeast"/>
        </w:trPr>
        <w:tc>
          <w:tcPr>
            <w:tcW w:w="7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3"/>
                <w:rFonts w:hint="default"/>
                <w:color w:val="auto"/>
                <w:highlight w:val="none"/>
                <w:lang w:bidi="ar"/>
              </w:rPr>
              <w:t>德昌县南环线建设工程（东段）安宁河特大桥</w:t>
            </w: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一、桥梁检测工作直接费用</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648"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1</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混凝土强度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测区</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544"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2</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钢筋间距</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555"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3</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保护层厚度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626"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4</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竖直度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方向</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48</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529"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5</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结构尺寸</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709</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529"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bidi="ar"/>
              </w:rPr>
              <w:t>6</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22"/>
                <w:rFonts w:hint="default"/>
                <w:color w:val="auto"/>
                <w:highlight w:val="none"/>
                <w:lang w:bidi="ar"/>
              </w:rPr>
            </w:pPr>
            <w:r>
              <w:rPr>
                <w:rStyle w:val="22"/>
                <w:color w:val="auto"/>
                <w:highlight w:val="none"/>
                <w:lang w:bidi="ar"/>
              </w:rPr>
              <w:t>其他项目</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22"/>
                <w:rFonts w:hint="default"/>
                <w:color w:val="auto"/>
                <w:highlight w:val="none"/>
                <w:lang w:bidi="ar"/>
              </w:rPr>
            </w:pP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kern w:val="0"/>
                <w:sz w:val="21"/>
                <w:szCs w:val="21"/>
                <w:highlight w:val="none"/>
                <w:lang w:bidi="ar"/>
              </w:rPr>
            </w:pP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由谈判申请人根据相关标准、规范要求对需要进行的结构、实体检测项目进行补充</w:t>
            </w:r>
          </w:p>
        </w:tc>
      </w:tr>
      <w:tr>
        <w:tblPrEx>
          <w:tblCellMar>
            <w:top w:w="0" w:type="dxa"/>
            <w:left w:w="108" w:type="dxa"/>
            <w:bottom w:w="0" w:type="dxa"/>
            <w:right w:w="108" w:type="dxa"/>
          </w:tblCellMar>
        </w:tblPrEx>
        <w:trPr>
          <w:trHeight w:val="33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二、其它费用</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1541"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1</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color w:val="auto"/>
                <w:highlight w:val="none"/>
                <w:lang w:bidi="ar"/>
              </w:rPr>
              <w:t>其他费用</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color w:val="auto"/>
                <w:highlight w:val="none"/>
                <w:lang w:bidi="ar"/>
              </w:rPr>
              <w:t>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bidi="ar"/>
              </w:rPr>
              <w:t>1</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包含食宿费、车辆使用费、登高车、现场检测措施及其他所有费用</w:t>
            </w:r>
          </w:p>
        </w:tc>
      </w:tr>
      <w:tr>
        <w:tblPrEx>
          <w:tblCellMar>
            <w:top w:w="0" w:type="dxa"/>
            <w:left w:w="108" w:type="dxa"/>
            <w:bottom w:w="0" w:type="dxa"/>
            <w:right w:w="108" w:type="dxa"/>
          </w:tblCellMar>
        </w:tblPrEx>
        <w:trPr>
          <w:trHeight w:val="57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三、税金</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税金</w:t>
            </w:r>
            <w:r>
              <w:rPr>
                <w:rStyle w:val="22"/>
                <w:color w:val="auto"/>
                <w:highlight w:val="none"/>
                <w:lang w:bidi="ar"/>
              </w:rPr>
              <w:t>（</w:t>
            </w:r>
            <w:r>
              <w:rPr>
                <w:rStyle w:val="27"/>
                <w:color w:val="auto"/>
                <w:highlight w:val="none"/>
                <w:lang w:bidi="ar"/>
              </w:rPr>
              <w:t>6%</w:t>
            </w:r>
            <w:r>
              <w:rPr>
                <w:rStyle w:val="27"/>
                <w:rFonts w:hint="eastAsia"/>
                <w:color w:val="auto"/>
                <w:highlight w:val="none"/>
                <w:lang w:bidi="ar"/>
              </w:rPr>
              <w:t>）</w:t>
            </w:r>
          </w:p>
        </w:tc>
      </w:tr>
      <w:tr>
        <w:tblPrEx>
          <w:tblCellMar>
            <w:top w:w="0" w:type="dxa"/>
            <w:left w:w="108" w:type="dxa"/>
            <w:bottom w:w="0" w:type="dxa"/>
            <w:right w:w="108" w:type="dxa"/>
          </w:tblCellMar>
        </w:tblPrEx>
        <w:trPr>
          <w:trHeight w:val="506"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4"/>
                <w:rFonts w:hint="default"/>
                <w:color w:val="auto"/>
                <w:highlight w:val="none"/>
                <w:lang w:bidi="ar"/>
              </w:rPr>
              <w:t>合计</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auto"/>
                <w:sz w:val="24"/>
                <w:highlight w:val="none"/>
              </w:rPr>
            </w:pPr>
          </w:p>
        </w:tc>
      </w:tr>
    </w:tbl>
    <w:p>
      <w:pPr>
        <w:rPr>
          <w:rFonts w:ascii="宋体" w:hAnsi="宋体"/>
          <w:color w:val="auto"/>
          <w:szCs w:val="28"/>
          <w:highlight w:val="none"/>
        </w:rPr>
      </w:pPr>
      <w:r>
        <w:rPr>
          <w:rFonts w:hint="eastAsia"/>
          <w:color w:val="auto"/>
          <w:highlight w:val="none"/>
        </w:rPr>
        <w:t>特别说明：以上2023年12月4日前已完工实体未统计桩基等已完全隐蔽覆盖的工程；以上工程量清单为各谈判申请人参考用，各谈判申请人须根据现行标准、规范复核检测项目及检测频率，确保满足现行标准、规范要求，若根据现行标准、规范要求须进行调整的由谈判申请人在投标时自行调整（但不得少于本谈判文件所列工程量清单），并自行调整工程量清单报价；谈判文件须附检测方案，</w:t>
      </w:r>
      <w:r>
        <w:rPr>
          <w:rFonts w:hint="eastAsia" w:ascii="宋体" w:hAnsi="宋体"/>
          <w:color w:val="auto"/>
          <w:szCs w:val="28"/>
          <w:highlight w:val="none"/>
        </w:rPr>
        <w:t>检测方案须满足现行相关标准、规范要求，并保证能通过项目监理、业主及主管部门的审核要求，方案须明确各检测部位的检测项目、检测内容、检测方法、检测数量（频率）等。</w:t>
      </w:r>
    </w:p>
    <w:p>
      <w:pPr>
        <w:ind w:firstLine="560" w:firstLineChars="200"/>
        <w:rPr>
          <w:rFonts w:ascii="宋体" w:hAnsi="宋体"/>
          <w:color w:val="auto"/>
          <w:szCs w:val="28"/>
          <w:highlight w:val="none"/>
        </w:rPr>
      </w:pPr>
      <w:r>
        <w:rPr>
          <w:rFonts w:hint="eastAsia" w:ascii="宋体" w:hAnsi="宋体"/>
          <w:color w:val="auto"/>
          <w:szCs w:val="28"/>
          <w:highlight w:val="none"/>
        </w:rPr>
        <w:t>2、工作内容及工期</w:t>
      </w:r>
    </w:p>
    <w:p>
      <w:pPr>
        <w:ind w:firstLine="560" w:firstLineChars="200"/>
        <w:rPr>
          <w:color w:val="auto"/>
          <w:highlight w:val="none"/>
        </w:rPr>
      </w:pPr>
      <w:r>
        <w:rPr>
          <w:rFonts w:hint="eastAsia" w:ascii="宋体" w:hAnsi="宋体"/>
          <w:color w:val="auto"/>
          <w:szCs w:val="28"/>
          <w:highlight w:val="none"/>
        </w:rPr>
        <w:t>2.1工作内容：</w:t>
      </w:r>
      <w:r>
        <w:rPr>
          <w:rFonts w:hint="eastAsia"/>
          <w:color w:val="auto"/>
          <w:highlight w:val="none"/>
        </w:rPr>
        <w:t>依据建设工程质量检验评定标准、规范及试验检测相关标准、规范要求（无明确要求的可参照公路工程质量检验评定标准、规范及相关要求）</w:t>
      </w:r>
      <w:r>
        <w:rPr>
          <w:rFonts w:hint="eastAsia" w:ascii="宋体" w:hAnsi="宋体"/>
          <w:color w:val="auto"/>
          <w:szCs w:val="28"/>
          <w:highlight w:val="none"/>
        </w:rPr>
        <w:t>完成相关检测方案编制、报审，并完成</w:t>
      </w:r>
      <w:r>
        <w:rPr>
          <w:rFonts w:hint="eastAsia"/>
          <w:color w:val="auto"/>
          <w:highlight w:val="none"/>
        </w:rPr>
        <w:t>对安宁河特大桥2023年12月4日前已完工实体不限于本谈判文件及清单所列的全部检测内容（</w:t>
      </w:r>
      <w:r>
        <w:rPr>
          <w:rFonts w:hint="eastAsia" w:ascii="宋体" w:hAnsi="宋体"/>
          <w:color w:val="auto"/>
          <w:szCs w:val="28"/>
          <w:highlight w:val="none"/>
        </w:rPr>
        <w:t>谈判申请人须根据现行相关标准、规范要求对须进行的检测项目进行补充并完成检测，</w:t>
      </w:r>
      <w:r>
        <w:rPr>
          <w:rFonts w:hint="eastAsia"/>
          <w:color w:val="auto"/>
          <w:highlight w:val="none"/>
        </w:rPr>
        <w:t>不包含桩基等已完全隐蔽覆盖部位）；</w:t>
      </w:r>
      <w:r>
        <w:rPr>
          <w:rFonts w:hint="eastAsia" w:ascii="宋体" w:hAnsi="宋体"/>
          <w:color w:val="auto"/>
          <w:szCs w:val="28"/>
          <w:highlight w:val="none"/>
        </w:rPr>
        <w:t>对本项目2023年12月4日前已完成的工程实体进行其他必要的检查，若存在相关质量问题则提出进一步检测方案经谈判人批准后开展进一步检测（增加的相关检测费用双方另行协商）；</w:t>
      </w:r>
      <w:r>
        <w:rPr>
          <w:rFonts w:hint="eastAsia"/>
          <w:color w:val="auto"/>
          <w:highlight w:val="none"/>
        </w:rPr>
        <w:t>根据检测数据对检测的工程实体进行质量评定（鉴定）并出具检测报告（</w:t>
      </w:r>
      <w:r>
        <w:rPr>
          <w:rFonts w:hint="eastAsia" w:ascii="宋体" w:hAnsi="宋体"/>
          <w:color w:val="auto"/>
          <w:szCs w:val="28"/>
          <w:highlight w:val="none"/>
        </w:rPr>
        <w:t>检测工作完成后15天内向谈判人提供5份完整的正式检测报告</w:t>
      </w:r>
      <w:r>
        <w:rPr>
          <w:rFonts w:hint="eastAsia"/>
          <w:color w:val="auto"/>
          <w:highlight w:val="none"/>
        </w:rPr>
        <w:t>），检测报告须明确检测评定（鉴定）结果是否合格。</w:t>
      </w:r>
    </w:p>
    <w:p>
      <w:pPr>
        <w:ind w:firstLine="560" w:firstLineChars="200"/>
        <w:rPr>
          <w:rFonts w:ascii="宋体" w:hAnsi="宋体"/>
          <w:color w:val="auto"/>
          <w:szCs w:val="28"/>
          <w:highlight w:val="none"/>
        </w:rPr>
      </w:pPr>
      <w:r>
        <w:rPr>
          <w:rFonts w:hint="eastAsia" w:ascii="宋体" w:hAnsi="宋体"/>
          <w:color w:val="auto"/>
          <w:szCs w:val="28"/>
          <w:highlight w:val="none"/>
        </w:rPr>
        <w:t>2.2工期：合同签订次日起算的15日历天。</w:t>
      </w:r>
    </w:p>
    <w:p>
      <w:pPr>
        <w:numPr>
          <w:ilvl w:val="0"/>
          <w:numId w:val="1"/>
        </w:numPr>
        <w:adjustRightInd w:val="0"/>
        <w:snapToGrid w:val="0"/>
        <w:spacing w:line="360" w:lineRule="auto"/>
        <w:ind w:firstLine="478" w:firstLineChars="171"/>
        <w:outlineLvl w:val="0"/>
        <w:rPr>
          <w:rFonts w:ascii="宋体" w:hAnsi="宋体"/>
          <w:color w:val="auto"/>
          <w:szCs w:val="28"/>
          <w:highlight w:val="none"/>
        </w:rPr>
      </w:pPr>
      <w:r>
        <w:rPr>
          <w:rFonts w:hint="eastAsia" w:ascii="宋体" w:hAnsi="宋体"/>
          <w:color w:val="auto"/>
          <w:szCs w:val="28"/>
          <w:highlight w:val="none"/>
        </w:rPr>
        <w:t xml:space="preserve">人员及设备设施要求 </w:t>
      </w:r>
    </w:p>
    <w:p>
      <w:pPr>
        <w:adjustRightInd w:val="0"/>
        <w:snapToGrid w:val="0"/>
        <w:spacing w:line="360" w:lineRule="auto"/>
        <w:ind w:left="479" w:leftChars="171"/>
        <w:outlineLvl w:val="0"/>
        <w:rPr>
          <w:rFonts w:ascii="宋体" w:hAnsi="宋体"/>
          <w:color w:val="auto"/>
          <w:szCs w:val="28"/>
          <w:highlight w:val="none"/>
        </w:rPr>
      </w:pPr>
      <w:r>
        <w:rPr>
          <w:rFonts w:hint="eastAsia" w:ascii="宋体" w:hAnsi="宋体" w:cs="宋体"/>
          <w:color w:val="auto"/>
          <w:szCs w:val="28"/>
          <w:highlight w:val="none"/>
        </w:rPr>
        <w:t>人员配备要求：</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项目负责人1人；</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技术负责人1人：</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试验工程师：</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olor w:val="auto"/>
          <w:szCs w:val="28"/>
          <w:highlight w:val="none"/>
        </w:rPr>
      </w:pPr>
      <w:r>
        <w:rPr>
          <w:rFonts w:hint="eastAsia" w:ascii="宋体" w:hAnsi="宋体" w:cs="宋体"/>
          <w:color w:val="auto"/>
          <w:sz w:val="24"/>
          <w:highlight w:val="none"/>
        </w:rPr>
        <w:t>检测员：满足行业主管部门对检测人员的相关要求。</w:t>
      </w:r>
    </w:p>
    <w:p>
      <w:pPr>
        <w:adjustRightInd w:val="0"/>
        <w:snapToGrid w:val="0"/>
        <w:spacing w:line="360" w:lineRule="auto"/>
        <w:ind w:firstLine="560" w:firstLineChars="200"/>
        <w:outlineLvl w:val="0"/>
        <w:rPr>
          <w:rFonts w:ascii="宋体" w:hAnsi="宋体"/>
          <w:color w:val="auto"/>
          <w:szCs w:val="28"/>
          <w:highlight w:val="none"/>
        </w:rPr>
      </w:pPr>
      <w:r>
        <w:rPr>
          <w:rFonts w:hint="eastAsia" w:ascii="宋体" w:hAnsi="宋体"/>
          <w:color w:val="auto"/>
          <w:szCs w:val="28"/>
          <w:highlight w:val="none"/>
        </w:rPr>
        <w:t>设备设施、工器具：满足本项目检测需求。</w:t>
      </w:r>
    </w:p>
    <w:p>
      <w:pPr>
        <w:ind w:firstLine="560" w:firstLineChars="200"/>
        <w:rPr>
          <w:rFonts w:ascii="宋体" w:hAnsi="宋体"/>
          <w:color w:val="auto"/>
          <w:szCs w:val="28"/>
          <w:highlight w:val="none"/>
        </w:rPr>
      </w:pPr>
      <w:r>
        <w:rPr>
          <w:rFonts w:hint="eastAsia" w:ascii="宋体" w:hAnsi="宋体"/>
          <w:color w:val="auto"/>
          <w:szCs w:val="28"/>
          <w:highlight w:val="none"/>
        </w:rPr>
        <w:t>4、谈判小组的组成</w:t>
      </w:r>
    </w:p>
    <w:p>
      <w:pPr>
        <w:ind w:firstLine="980" w:firstLineChars="350"/>
        <w:rPr>
          <w:rFonts w:ascii="宋体" w:hAnsi="宋体"/>
          <w:b/>
          <w:color w:val="auto"/>
          <w:sz w:val="48"/>
          <w:szCs w:val="36"/>
          <w:highlight w:val="none"/>
        </w:rPr>
      </w:pPr>
      <w:r>
        <w:rPr>
          <w:rFonts w:hint="eastAsia" w:ascii="宋体" w:hAnsi="宋体"/>
          <w:color w:val="auto"/>
          <w:szCs w:val="28"/>
          <w:highlight w:val="none"/>
        </w:rPr>
        <w:t>由公司成立谈判小组，总数为</w:t>
      </w:r>
      <w:r>
        <w:rPr>
          <w:rFonts w:hint="eastAsia" w:ascii="宋体" w:hAnsi="宋体"/>
          <w:color w:val="auto"/>
          <w:szCs w:val="28"/>
          <w:highlight w:val="none"/>
          <w:u w:val="single"/>
        </w:rPr>
        <w:t xml:space="preserve">3 </w:t>
      </w:r>
      <w:r>
        <w:rPr>
          <w:rFonts w:hint="eastAsia" w:ascii="宋体" w:hAnsi="宋体"/>
          <w:color w:val="auto"/>
          <w:szCs w:val="28"/>
          <w:highlight w:val="none"/>
        </w:rPr>
        <w:t>人。</w:t>
      </w:r>
    </w:p>
    <w:p>
      <w:pPr>
        <w:rPr>
          <w:rFonts w:ascii="宋体" w:hAnsi="宋体"/>
          <w:b/>
          <w:color w:val="auto"/>
          <w:sz w:val="48"/>
          <w:szCs w:val="36"/>
          <w:highlight w:val="none"/>
        </w:rPr>
      </w:pPr>
      <w:r>
        <w:rPr>
          <w:rFonts w:hint="eastAsia" w:ascii="宋体" w:hAnsi="宋体"/>
          <w:b/>
          <w:color w:val="auto"/>
          <w:sz w:val="48"/>
          <w:szCs w:val="36"/>
          <w:highlight w:val="none"/>
        </w:rPr>
        <w:br w:type="page"/>
      </w:r>
    </w:p>
    <w:p>
      <w:pPr>
        <w:jc w:val="center"/>
        <w:rPr>
          <w:rFonts w:ascii="宋体" w:hAnsi="宋体"/>
          <w:b/>
          <w:color w:val="auto"/>
          <w:sz w:val="48"/>
          <w:szCs w:val="36"/>
          <w:highlight w:val="none"/>
        </w:rPr>
      </w:pPr>
      <w:r>
        <w:rPr>
          <w:rFonts w:hint="eastAsia" w:ascii="宋体" w:hAnsi="宋体"/>
          <w:b/>
          <w:color w:val="auto"/>
          <w:sz w:val="48"/>
          <w:szCs w:val="36"/>
          <w:highlight w:val="none"/>
        </w:rPr>
        <w:t>第2章  谈判须知</w:t>
      </w:r>
    </w:p>
    <w:p>
      <w:pPr>
        <w:ind w:firstLine="560" w:firstLineChars="200"/>
        <w:rPr>
          <w:rFonts w:ascii="宋体" w:hAnsi="宋体"/>
          <w:color w:val="auto"/>
          <w:szCs w:val="28"/>
          <w:highlight w:val="none"/>
          <w:u w:val="single"/>
        </w:rPr>
      </w:pPr>
      <w:r>
        <w:rPr>
          <w:rFonts w:hint="eastAsia" w:ascii="宋体" w:hAnsi="宋体"/>
          <w:color w:val="auto"/>
          <w:szCs w:val="28"/>
          <w:highlight w:val="none"/>
        </w:rPr>
        <w:t>1、事项名称 ：</w:t>
      </w:r>
      <w:r>
        <w:rPr>
          <w:rFonts w:hint="eastAsia" w:ascii="宋体" w:hAnsi="宋体"/>
          <w:color w:val="auto"/>
          <w:szCs w:val="28"/>
          <w:highlight w:val="none"/>
          <w:u w:val="single"/>
        </w:rPr>
        <w:t>凉山州兴德建设有限责任公司关于采用竞争性谈判的方式选德昌县南环线建设工程（东段）安宁河大桥已完工程实体检测单位。</w:t>
      </w:r>
    </w:p>
    <w:p>
      <w:pPr>
        <w:ind w:firstLine="560" w:firstLineChars="200"/>
        <w:rPr>
          <w:rFonts w:ascii="宋体" w:hAnsi="宋体"/>
          <w:color w:val="auto"/>
          <w:szCs w:val="28"/>
          <w:highlight w:val="none"/>
        </w:rPr>
      </w:pPr>
      <w:r>
        <w:rPr>
          <w:rFonts w:hint="eastAsia" w:ascii="宋体" w:hAnsi="宋体"/>
          <w:color w:val="auto"/>
          <w:szCs w:val="28"/>
          <w:highlight w:val="none"/>
        </w:rPr>
        <w:t>1.1、谈判申请人资格及业绩要求</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1.1.1中华人民共和国境内法人，具备独立法人资格，持有有效营业执照，具有独立承担民事责任的能力；</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1.1.2具有良好的商业信誉和健全的财务会计制度；</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1.1.3具有履行合同所必需的设备和专业技术能力；</w:t>
      </w:r>
    </w:p>
    <w:p>
      <w:pPr>
        <w:pStyle w:val="21"/>
        <w:spacing w:line="240" w:lineRule="auto"/>
        <w:ind w:firstLine="480"/>
        <w:rPr>
          <w:rFonts w:ascii="宋体" w:hAnsi="宋体"/>
          <w:color w:val="auto"/>
          <w:sz w:val="24"/>
          <w:highlight w:val="none"/>
        </w:rPr>
      </w:pPr>
      <w:r>
        <w:rPr>
          <w:rFonts w:hint="eastAsia" w:ascii="宋体" w:hAnsi="宋体" w:cs="宋体"/>
          <w:color w:val="auto"/>
          <w:sz w:val="24"/>
          <w:highlight w:val="none"/>
        </w:rPr>
        <w:t>1.1.4</w:t>
      </w:r>
      <w:r>
        <w:rPr>
          <w:rFonts w:hint="eastAsia" w:ascii="宋体" w:hAnsi="宋体"/>
          <w:color w:val="auto"/>
          <w:sz w:val="24"/>
          <w:highlight w:val="none"/>
        </w:rPr>
        <w:t>具有依法缴纳税收和社会保障资金的良好记录；</w:t>
      </w:r>
    </w:p>
    <w:p>
      <w:pPr>
        <w:pStyle w:val="21"/>
        <w:spacing w:line="240" w:lineRule="auto"/>
        <w:ind w:firstLine="480"/>
        <w:rPr>
          <w:rFonts w:ascii="宋体" w:hAnsi="宋体"/>
          <w:color w:val="auto"/>
          <w:sz w:val="24"/>
          <w:highlight w:val="none"/>
        </w:rPr>
      </w:pPr>
      <w:r>
        <w:rPr>
          <w:rFonts w:hint="eastAsia" w:ascii="宋体" w:hAnsi="宋体"/>
          <w:color w:val="auto"/>
          <w:sz w:val="24"/>
          <w:highlight w:val="none"/>
        </w:rPr>
        <w:t>1.1.5参加本次谈判活动前三年在经营活动中没有重大违法记录；</w:t>
      </w:r>
    </w:p>
    <w:p>
      <w:pPr>
        <w:pStyle w:val="21"/>
        <w:spacing w:line="240" w:lineRule="auto"/>
        <w:ind w:firstLine="480"/>
        <w:rPr>
          <w:rFonts w:hint="eastAsia" w:ascii="宋体" w:hAnsi="宋体" w:eastAsia="宋体"/>
          <w:color w:val="auto"/>
          <w:sz w:val="24"/>
          <w:highlight w:val="none"/>
          <w:lang w:eastAsia="zh-CN"/>
        </w:rPr>
      </w:pPr>
      <w:r>
        <w:rPr>
          <w:rFonts w:hint="eastAsia" w:ascii="宋体" w:hAnsi="宋体"/>
          <w:color w:val="auto"/>
          <w:sz w:val="24"/>
          <w:highlight w:val="none"/>
        </w:rPr>
        <w:t>1.1.6法律、行政法规规定的其它条件</w:t>
      </w:r>
      <w:r>
        <w:rPr>
          <w:rFonts w:hint="eastAsia" w:ascii="宋体" w:hAnsi="宋体"/>
          <w:color w:val="auto"/>
          <w:sz w:val="24"/>
          <w:highlight w:val="none"/>
          <w:lang w:eastAsia="zh-CN"/>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1.1.7其他要求</w:t>
      </w:r>
    </w:p>
    <w:p>
      <w:pPr>
        <w:spacing w:line="44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（1）谈判申请人要求具有省级及以上建设行政主管部门颁发的建设工程质量检测资质，并取得了省级及以上质量技术监督部门颁发的计量认证证书；</w:t>
      </w:r>
    </w:p>
    <w:p>
      <w:pPr>
        <w:spacing w:line="44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（2）谈判申请人应具备公路工程试验检测机构综合甲级资质和公路工程试验检测机构桥梁隧道工程专项资质；</w:t>
      </w:r>
    </w:p>
    <w:p>
      <w:pPr>
        <w:spacing w:line="44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（3）谈判申请人近三年（2021年3月1日至谈判时间）至少已完成或新承接或正在检测1个市政工程（须含</w:t>
      </w:r>
      <w:r>
        <w:rPr>
          <w:rFonts w:hint="eastAsia" w:ascii="宋体" w:hAnsi="宋体" w:cs="Times New Roman"/>
          <w:color w:val="auto"/>
          <w:sz w:val="24"/>
          <w:highlight w:val="none"/>
          <w:lang w:val="en-US" w:eastAsia="zh-CN"/>
        </w:rPr>
        <w:t>桥梁</w:t>
      </w:r>
      <w:r>
        <w:rPr>
          <w:rFonts w:hint="eastAsia" w:ascii="宋体" w:hAnsi="宋体" w:cs="Times New Roman"/>
          <w:color w:val="auto"/>
          <w:sz w:val="24"/>
          <w:highlight w:val="none"/>
        </w:rPr>
        <w:t>工程）或公路工程（须含</w:t>
      </w:r>
      <w:r>
        <w:rPr>
          <w:rFonts w:hint="eastAsia" w:ascii="宋体" w:hAnsi="宋体" w:cs="Times New Roman"/>
          <w:color w:val="auto"/>
          <w:sz w:val="24"/>
          <w:highlight w:val="none"/>
          <w:lang w:val="en-US" w:eastAsia="zh-CN"/>
        </w:rPr>
        <w:t>桥梁</w:t>
      </w:r>
      <w:r>
        <w:rPr>
          <w:rFonts w:hint="eastAsia" w:ascii="宋体" w:hAnsi="宋体" w:cs="Times New Roman"/>
          <w:color w:val="auto"/>
          <w:sz w:val="24"/>
          <w:highlight w:val="none"/>
        </w:rPr>
        <w:t>工程）实体检测业绩；</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（4）具有省级及以上住建行政主管部门核发的有效的《安全生产许可证》。</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1.1.8本项目人员配备要求</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项目负责人1人；</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技术负责人1人：</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试验工程师：</w:t>
      </w:r>
      <w:r>
        <w:rPr>
          <w:rFonts w:hint="eastAsia" w:ascii="宋体" w:hAnsi="宋体"/>
          <w:color w:val="auto"/>
          <w:kern w:val="0"/>
          <w:sz w:val="24"/>
          <w:highlight w:val="none"/>
        </w:rPr>
        <w:t>具有专业检测类证书，市政或道路桥梁相关专业中级及以上职称；</w:t>
      </w:r>
    </w:p>
    <w:p>
      <w:pPr>
        <w:pStyle w:val="21"/>
        <w:spacing w:line="240" w:lineRule="auto"/>
        <w:ind w:firstLine="480"/>
        <w:rPr>
          <w:rFonts w:ascii="宋体" w:hAnsi="宋体" w:cs="宋体"/>
          <w:color w:val="auto"/>
          <w:sz w:val="24"/>
          <w:highlight w:val="none"/>
        </w:rPr>
      </w:pPr>
      <w:r>
        <w:rPr>
          <w:rFonts w:hint="eastAsia" w:ascii="宋体" w:hAnsi="宋体" w:cs="宋体"/>
          <w:color w:val="auto"/>
          <w:sz w:val="24"/>
          <w:highlight w:val="none"/>
        </w:rPr>
        <w:t>检测员：满足行业主管部门对检测人员的相关要求。</w:t>
      </w:r>
    </w:p>
    <w:p>
      <w:pPr>
        <w:ind w:left="476" w:leftChars="170"/>
        <w:rPr>
          <w:rFonts w:ascii="宋体" w:hAnsi="宋体" w:cs="宋体"/>
          <w:color w:val="auto"/>
          <w:sz w:val="24"/>
          <w:highlight w:val="none"/>
        </w:rPr>
      </w:pPr>
      <w:r>
        <w:rPr>
          <w:rFonts w:hint="eastAsia" w:ascii="宋体" w:hAnsi="宋体" w:cs="宋体"/>
          <w:color w:val="auto"/>
          <w:sz w:val="24"/>
          <w:highlight w:val="none"/>
        </w:rPr>
        <w:t>1.1.9信誉要求</w:t>
      </w:r>
    </w:p>
    <w:p>
      <w:pPr>
        <w:pStyle w:val="21"/>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（1）被州级及以上主管部门取消比选项目所在地的投标资格且处于有效期内，不接受其谈判</w:t>
      </w:r>
      <w:r>
        <w:rPr>
          <w:rFonts w:hint="eastAsia" w:ascii="宋体" w:hAnsi="宋体" w:cs="宋体"/>
          <w:color w:val="auto"/>
          <w:sz w:val="24"/>
          <w:highlight w:val="none"/>
          <w:lang w:eastAsia="zh-CN"/>
        </w:rPr>
        <w:t>；</w:t>
      </w:r>
    </w:p>
    <w:p>
      <w:pPr>
        <w:pStyle w:val="21"/>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（2）被责令停业，暂扣或吊销执照，或吊销资质证书，不接受其谈判</w:t>
      </w:r>
      <w:r>
        <w:rPr>
          <w:rFonts w:hint="eastAsia" w:ascii="宋体" w:hAnsi="宋体" w:cs="宋体"/>
          <w:color w:val="auto"/>
          <w:sz w:val="24"/>
          <w:highlight w:val="none"/>
          <w:lang w:eastAsia="zh-CN"/>
        </w:rPr>
        <w:t>；</w:t>
      </w:r>
    </w:p>
    <w:p>
      <w:pPr>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（3）进入清算程序，或被宣告破产，或其他丧失履约能力的情形，不接受其谈判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（4）在国家企业信用信息公示系统（http://www.gsxt.gov.cn/）中被列入严重违法失信企业名单，不接受其谈判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（5）在“信用中国”网站（http://www.creditchina.gov.cn/）中被列入失信被执行人名单，不接受其谈判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（6）近三年内，谈判申请人或其法定代表人、拟委任的项目负责人无行贿犯罪行为（需提供书面承诺，格式自拟）</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（7）近三年内，谈判申请人和其法定代表人、拟委任的项目负责人在相关主管部门无不良信用记录（需提供书面承诺，格式自拟）</w:t>
      </w:r>
      <w:r>
        <w:rPr>
          <w:rFonts w:hint="eastAsia" w:ascii="宋体" w:hAnsi="宋体" w:cs="宋体"/>
          <w:color w:val="auto"/>
          <w:sz w:val="24"/>
          <w:highlight w:val="none"/>
          <w:lang w:eastAsia="zh-CN"/>
        </w:rPr>
        <w:t>。</w:t>
      </w:r>
    </w:p>
    <w:p>
      <w:pPr>
        <w:ind w:firstLine="560" w:firstLineChars="200"/>
        <w:rPr>
          <w:rFonts w:ascii="宋体" w:hAnsi="宋体"/>
          <w:color w:val="auto"/>
          <w:szCs w:val="28"/>
          <w:highlight w:val="none"/>
        </w:rPr>
      </w:pPr>
      <w:r>
        <w:rPr>
          <w:rFonts w:hint="eastAsia" w:ascii="宋体" w:hAnsi="宋体" w:cs="宋体"/>
          <w:color w:val="auto"/>
          <w:szCs w:val="28"/>
          <w:highlight w:val="none"/>
        </w:rPr>
        <w:t>1.1.10</w:t>
      </w:r>
      <w:r>
        <w:rPr>
          <w:rFonts w:hint="eastAsia" w:ascii="宋体" w:hAnsi="宋体"/>
          <w:color w:val="auto"/>
          <w:szCs w:val="28"/>
          <w:highlight w:val="none"/>
        </w:rPr>
        <w:t>承诺被选中后，确保及时组织专业检测人员、仪器设备，能在谈判人规定的时间内完成检测工作，且能接受本项目的付款条件</w:t>
      </w:r>
      <w:r>
        <w:rPr>
          <w:rFonts w:hint="eastAsia" w:ascii="宋体" w:hAnsi="宋体"/>
          <w:color w:val="auto"/>
          <w:szCs w:val="28"/>
          <w:highlight w:val="none"/>
          <w:lang w:eastAsia="zh-CN"/>
        </w:rPr>
        <w:t>。</w:t>
      </w:r>
      <w:r>
        <w:rPr>
          <w:rFonts w:hint="eastAsia" w:ascii="宋体" w:hAnsi="宋体"/>
          <w:color w:val="auto"/>
          <w:szCs w:val="28"/>
          <w:highlight w:val="none"/>
        </w:rPr>
        <w:t>（自行承诺）</w:t>
      </w:r>
    </w:p>
    <w:p>
      <w:pPr>
        <w:spacing w:line="560" w:lineRule="exact"/>
        <w:ind w:firstLine="560" w:firstLineChars="200"/>
        <w:rPr>
          <w:rFonts w:ascii="宋体" w:hAnsi="宋体"/>
          <w:color w:val="auto"/>
          <w:szCs w:val="28"/>
          <w:highlight w:val="none"/>
        </w:rPr>
      </w:pPr>
      <w:r>
        <w:rPr>
          <w:rFonts w:hint="eastAsia" w:ascii="宋体" w:hAnsi="宋体" w:cs="宋体"/>
          <w:color w:val="auto"/>
          <w:szCs w:val="28"/>
          <w:highlight w:val="none"/>
        </w:rPr>
        <w:t>1.1.11</w:t>
      </w:r>
      <w:r>
        <w:rPr>
          <w:rFonts w:hint="eastAsia" w:ascii="宋体" w:hAnsi="宋体"/>
          <w:color w:val="auto"/>
          <w:szCs w:val="28"/>
          <w:highlight w:val="none"/>
        </w:rPr>
        <w:t>不论竞争性谈判结果如何，谈判申请人的竞争性谈判文件均不退回。</w:t>
      </w:r>
    </w:p>
    <w:p>
      <w:pPr>
        <w:spacing w:line="480" w:lineRule="auto"/>
        <w:ind w:left="476" w:leftChars="170"/>
        <w:rPr>
          <w:rFonts w:ascii="宋体" w:hAnsi="宋体"/>
          <w:color w:val="auto"/>
          <w:szCs w:val="28"/>
          <w:highlight w:val="none"/>
          <w:u w:val="single"/>
        </w:rPr>
      </w:pPr>
      <w:r>
        <w:rPr>
          <w:rFonts w:hint="eastAsia" w:ascii="宋体" w:hAnsi="宋体"/>
          <w:color w:val="auto"/>
          <w:szCs w:val="28"/>
          <w:highlight w:val="none"/>
        </w:rPr>
        <w:t>2、竞争性谈判文件的递交时间。于</w:t>
      </w:r>
      <w:r>
        <w:rPr>
          <w:rFonts w:hint="eastAsia" w:ascii="宋体" w:hAnsi="宋体"/>
          <w:color w:val="auto"/>
          <w:szCs w:val="28"/>
          <w:highlight w:val="none"/>
          <w:u w:val="single"/>
        </w:rPr>
        <w:t>2024</w:t>
      </w:r>
      <w:r>
        <w:rPr>
          <w:rFonts w:hint="eastAsia" w:ascii="宋体" w:hAnsi="宋体"/>
          <w:color w:val="auto"/>
          <w:szCs w:val="28"/>
          <w:highlight w:val="none"/>
        </w:rPr>
        <w:t>年</w:t>
      </w:r>
      <w:r>
        <w:rPr>
          <w:rFonts w:hint="eastAsia" w:ascii="宋体" w:hAnsi="宋体"/>
          <w:color w:val="auto"/>
          <w:szCs w:val="28"/>
          <w:highlight w:val="none"/>
          <w:u w:val="single"/>
        </w:rPr>
        <w:t>03</w:t>
      </w:r>
      <w:r>
        <w:rPr>
          <w:rFonts w:hint="eastAsia" w:ascii="宋体" w:hAnsi="宋体"/>
          <w:color w:val="auto"/>
          <w:szCs w:val="28"/>
          <w:highlight w:val="none"/>
        </w:rPr>
        <w:t>月</w:t>
      </w:r>
      <w:r>
        <w:rPr>
          <w:rFonts w:hint="eastAsia" w:ascii="宋体" w:hAnsi="宋体"/>
          <w:color w:val="auto"/>
          <w:szCs w:val="28"/>
          <w:highlight w:val="none"/>
          <w:u w:val="single"/>
          <w:lang w:val="en-US" w:eastAsia="zh-CN"/>
        </w:rPr>
        <w:t>20</w:t>
      </w:r>
      <w:r>
        <w:rPr>
          <w:rFonts w:hint="eastAsia" w:ascii="宋体" w:hAnsi="宋体"/>
          <w:color w:val="auto"/>
          <w:szCs w:val="28"/>
          <w:highlight w:val="none"/>
        </w:rPr>
        <w:t>日</w:t>
      </w:r>
      <w:r>
        <w:rPr>
          <w:rFonts w:hint="eastAsia" w:ascii="宋体" w:hAnsi="宋体"/>
          <w:color w:val="auto"/>
          <w:szCs w:val="28"/>
          <w:highlight w:val="none"/>
          <w:lang w:val="en-US" w:eastAsia="zh-CN"/>
        </w:rPr>
        <w:t>15</w:t>
      </w:r>
      <w:r>
        <w:rPr>
          <w:rFonts w:hint="eastAsia" w:ascii="宋体" w:hAnsi="宋体"/>
          <w:color w:val="auto"/>
          <w:szCs w:val="28"/>
          <w:highlight w:val="none"/>
        </w:rPr>
        <w:t>:00前递交至</w:t>
      </w:r>
      <w:r>
        <w:rPr>
          <w:rFonts w:hint="eastAsia"/>
          <w:color w:val="auto"/>
          <w:highlight w:val="none"/>
          <w:u w:val="single"/>
        </w:rPr>
        <w:t>凉山州兴德建设有限责任公司（德昌县德泰家院幸福里1栋3单元18-1办公室）</w:t>
      </w:r>
      <w:r>
        <w:rPr>
          <w:rFonts w:hint="eastAsia" w:ascii="宋体" w:hAnsi="宋体"/>
          <w:color w:val="auto"/>
          <w:szCs w:val="28"/>
          <w:highlight w:val="none"/>
        </w:rPr>
        <w:t>。</w:t>
      </w:r>
      <w:bookmarkStart w:id="0" w:name="_GoBack"/>
      <w:bookmarkEnd w:id="0"/>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3、竞争性谈判文件的份数</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谈判申请人应提供参选文件一套（含第一次报价单）。</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4、竞争性谈判文件签署</w:t>
      </w:r>
    </w:p>
    <w:p>
      <w:pPr>
        <w:spacing w:line="560" w:lineRule="exact"/>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4.1竞争性谈判文件的封面或扉页应标明项目名称、文件名称、谈判申请人全称，由谈判申请人加盖法人单位公章，并经法定代表人或其委托代理人签字或盖章</w:t>
      </w:r>
      <w:r>
        <w:rPr>
          <w:rFonts w:hint="eastAsia" w:ascii="宋体" w:hAnsi="宋体"/>
          <w:color w:val="auto"/>
          <w:szCs w:val="28"/>
          <w:highlight w:val="none"/>
          <w:lang w:eastAsia="zh-CN"/>
        </w:rPr>
        <w:t>。</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4.2全套竞争性谈判文件应无涂改和行间插字，除非这些删改是根据谈判人（凉山州兴德建设有限责任公司）指示进行的，或者是谈判申请人造成的必须修改的错误，但修改处应加盖谈判申请人公章或法定代表人印章或其委托代理人印章。</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5、竞争性谈判文件的密封</w:t>
      </w:r>
    </w:p>
    <w:p>
      <w:pPr>
        <w:spacing w:line="560" w:lineRule="exact"/>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5.1所有竞争性谈判文件均应进行密封</w:t>
      </w:r>
      <w:r>
        <w:rPr>
          <w:rFonts w:hint="eastAsia" w:ascii="宋体" w:hAnsi="宋体"/>
          <w:color w:val="auto"/>
          <w:szCs w:val="28"/>
          <w:highlight w:val="none"/>
          <w:lang w:eastAsia="zh-CN"/>
        </w:rPr>
        <w:t>；</w:t>
      </w:r>
    </w:p>
    <w:p>
      <w:pPr>
        <w:spacing w:line="560" w:lineRule="exact"/>
        <w:ind w:firstLine="560" w:firstLineChars="200"/>
        <w:rPr>
          <w:rFonts w:hint="eastAsia" w:ascii="宋体" w:hAnsi="宋体" w:eastAsia="宋体"/>
          <w:color w:val="auto"/>
          <w:szCs w:val="28"/>
          <w:highlight w:val="none"/>
          <w:lang w:val="en-US" w:eastAsia="zh-CN"/>
        </w:rPr>
      </w:pPr>
      <w:r>
        <w:rPr>
          <w:rFonts w:hint="eastAsia" w:ascii="宋体" w:hAnsi="宋体"/>
          <w:color w:val="auto"/>
          <w:szCs w:val="28"/>
          <w:highlight w:val="none"/>
        </w:rPr>
        <w:t>5.2竞争性谈判文件递交时所有密封最外层至少应标明事项名称、谈判申请人全称，并在密封处加盖谈判申请人公章</w:t>
      </w:r>
      <w:r>
        <w:rPr>
          <w:rFonts w:hint="eastAsia" w:ascii="宋体" w:hAnsi="宋体"/>
          <w:color w:val="auto"/>
          <w:szCs w:val="28"/>
          <w:highlight w:val="none"/>
          <w:lang w:eastAsia="zh-CN"/>
        </w:rPr>
        <w:t>；</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5.3如果没有按上述规定密封的竞争性谈判文件，建设单位将不承担竞争性谈判文件错放或提前开启的责任，由此造成提前开启的竞争性谈判文件，谈判人（凉山州兴德建设有限责任公司）有权予以拒绝。</w:t>
      </w:r>
    </w:p>
    <w:p>
      <w:pPr>
        <w:numPr>
          <w:ilvl w:val="0"/>
          <w:numId w:val="2"/>
        </w:num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最高限价：</w:t>
      </w:r>
      <w:r>
        <w:rPr>
          <w:rFonts w:hint="eastAsia" w:ascii="仿宋" w:hAnsi="仿宋" w:eastAsia="仿宋" w:cs="仿宋"/>
          <w:color w:val="auto"/>
          <w:sz w:val="32"/>
          <w:szCs w:val="32"/>
          <w:highlight w:val="none"/>
          <w:u w:val="single"/>
        </w:rPr>
        <w:t>153331</w:t>
      </w:r>
      <w:r>
        <w:rPr>
          <w:rFonts w:hint="eastAsia" w:ascii="宋体" w:hAnsi="宋体"/>
          <w:color w:val="auto"/>
          <w:szCs w:val="28"/>
          <w:highlight w:val="none"/>
          <w:u w:val="single"/>
        </w:rPr>
        <w:t>元</w:t>
      </w:r>
      <w:r>
        <w:rPr>
          <w:rFonts w:hint="eastAsia" w:ascii="宋体" w:hAnsi="宋体"/>
          <w:color w:val="auto"/>
          <w:szCs w:val="28"/>
          <w:highlight w:val="none"/>
        </w:rPr>
        <w:t>。</w:t>
      </w:r>
    </w:p>
    <w:p>
      <w:pPr>
        <w:numPr>
          <w:ilvl w:val="0"/>
          <w:numId w:val="2"/>
        </w:num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报价</w:t>
      </w:r>
    </w:p>
    <w:p>
      <w:pPr>
        <w:spacing w:line="360" w:lineRule="auto"/>
        <w:ind w:firstLine="560" w:firstLineChars="200"/>
        <w:rPr>
          <w:rFonts w:ascii="宋体" w:hAnsi="宋体"/>
          <w:color w:val="auto"/>
          <w:szCs w:val="28"/>
          <w:highlight w:val="none"/>
        </w:rPr>
      </w:pPr>
      <w:r>
        <w:rPr>
          <w:rFonts w:hint="eastAsia" w:ascii="宋体" w:hAnsi="宋体"/>
          <w:color w:val="auto"/>
          <w:szCs w:val="28"/>
          <w:highlight w:val="none"/>
        </w:rPr>
        <w:t>根据谈判文件及申请人现场勘察情况（参选人报名后应当自行组织相关人员到项目实地进行踏勘了解详细工程概况及现场实际情况；提交报价便视为参选人已全面了解工程的具体情况及相关要求），对本检测项目进行报价，要求报价在最高限价的基础上至少下浮20%为有效报价，采用固定单价形式，申请人的报价已包含：检测工作直接费用、人员食宿费用、交通车费用、检测车辆（如桥登高车等）台班费用、税金及其它必要的措施费、配合费用（如交通管制）、管理费、利润等乙方为履行本合同所需要的全部工作所需费用及应承担的风险费。</w:t>
      </w:r>
    </w:p>
    <w:p>
      <w:pPr>
        <w:numPr>
          <w:ilvl w:val="0"/>
          <w:numId w:val="2"/>
        </w:numPr>
        <w:ind w:firstLine="560" w:firstLineChars="200"/>
        <w:rPr>
          <w:rFonts w:ascii="宋体" w:hAnsi="宋体"/>
          <w:color w:val="auto"/>
          <w:szCs w:val="28"/>
          <w:highlight w:val="none"/>
        </w:rPr>
      </w:pPr>
      <w:r>
        <w:rPr>
          <w:rFonts w:hint="eastAsia" w:ascii="宋体" w:hAnsi="宋体"/>
          <w:color w:val="auto"/>
          <w:szCs w:val="28"/>
          <w:highlight w:val="none"/>
        </w:rPr>
        <w:t>支付方式</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乙方完成全部检测工作并提供完整的正式检测报告，可申请支付合同金额100%款项（先开票后付款）。</w:t>
      </w:r>
    </w:p>
    <w:p>
      <w:pPr>
        <w:pStyle w:val="16"/>
        <w:shd w:val="clear" w:color="auto" w:fill="FFFFFF"/>
        <w:adjustRightInd w:val="0"/>
        <w:snapToGrid w:val="0"/>
        <w:spacing w:before="0" w:beforeAutospacing="0" w:after="0" w:afterAutospacing="0"/>
        <w:ind w:firstLine="560" w:firstLineChars="200"/>
        <w:rPr>
          <w:color w:val="auto"/>
          <w:spacing w:val="101"/>
          <w:sz w:val="28"/>
          <w:szCs w:val="28"/>
          <w:highlight w:val="none"/>
        </w:rPr>
      </w:pPr>
      <w:r>
        <w:rPr>
          <w:rFonts w:hint="eastAsia"/>
          <w:color w:val="auto"/>
          <w:sz w:val="28"/>
          <w:szCs w:val="28"/>
          <w:highlight w:val="none"/>
        </w:rPr>
        <w:t>9、评选时间和场地</w:t>
      </w:r>
    </w:p>
    <w:p>
      <w:pPr>
        <w:spacing w:line="480" w:lineRule="auto"/>
        <w:ind w:firstLine="560" w:firstLineChars="200"/>
        <w:rPr>
          <w:rFonts w:ascii="宋体" w:hAnsi="宋体"/>
          <w:color w:val="auto"/>
          <w:szCs w:val="28"/>
          <w:highlight w:val="none"/>
        </w:rPr>
      </w:pPr>
      <w:r>
        <w:rPr>
          <w:rFonts w:hint="eastAsia" w:ascii="宋体" w:hAnsi="宋体"/>
          <w:color w:val="auto"/>
          <w:szCs w:val="28"/>
          <w:highlight w:val="none"/>
        </w:rPr>
        <w:t>时间定于</w:t>
      </w:r>
      <w:r>
        <w:rPr>
          <w:rFonts w:hint="eastAsia" w:ascii="宋体" w:hAnsi="宋体"/>
          <w:b/>
          <w:color w:val="auto"/>
          <w:szCs w:val="28"/>
          <w:highlight w:val="none"/>
          <w:u w:val="single"/>
        </w:rPr>
        <w:t>2024</w:t>
      </w:r>
      <w:r>
        <w:rPr>
          <w:rFonts w:hint="eastAsia" w:ascii="宋体" w:hAnsi="宋体"/>
          <w:color w:val="auto"/>
          <w:szCs w:val="28"/>
          <w:highlight w:val="none"/>
        </w:rPr>
        <w:t>年</w:t>
      </w:r>
      <w:r>
        <w:rPr>
          <w:rFonts w:hint="eastAsia" w:ascii="宋体" w:hAnsi="宋体"/>
          <w:color w:val="auto"/>
          <w:szCs w:val="28"/>
          <w:highlight w:val="none"/>
          <w:u w:val="single"/>
        </w:rPr>
        <w:t>03</w:t>
      </w:r>
      <w:r>
        <w:rPr>
          <w:rFonts w:hint="eastAsia" w:ascii="宋体" w:hAnsi="宋体"/>
          <w:color w:val="auto"/>
          <w:szCs w:val="28"/>
          <w:highlight w:val="none"/>
        </w:rPr>
        <w:t>月</w:t>
      </w:r>
      <w:r>
        <w:rPr>
          <w:rFonts w:hint="eastAsia" w:ascii="宋体" w:hAnsi="宋体"/>
          <w:color w:val="auto"/>
          <w:szCs w:val="28"/>
          <w:highlight w:val="none"/>
          <w:u w:val="single"/>
          <w:lang w:val="en-US" w:eastAsia="zh-CN"/>
        </w:rPr>
        <w:t>20</w:t>
      </w:r>
      <w:r>
        <w:rPr>
          <w:rFonts w:hint="eastAsia" w:ascii="宋体" w:hAnsi="宋体"/>
          <w:color w:val="auto"/>
          <w:szCs w:val="28"/>
          <w:highlight w:val="none"/>
        </w:rPr>
        <w:t>日</w:t>
      </w:r>
      <w:r>
        <w:rPr>
          <w:rFonts w:hint="eastAsia" w:ascii="宋体" w:hAnsi="宋体"/>
          <w:b/>
          <w:color w:val="auto"/>
          <w:szCs w:val="28"/>
          <w:highlight w:val="none"/>
          <w:u w:val="single"/>
          <w:lang w:val="en-US" w:eastAsia="zh-CN"/>
        </w:rPr>
        <w:t>15</w:t>
      </w:r>
      <w:r>
        <w:rPr>
          <w:rFonts w:hint="eastAsia" w:ascii="宋体" w:hAnsi="宋体"/>
          <w:b/>
          <w:color w:val="auto"/>
          <w:szCs w:val="28"/>
          <w:highlight w:val="none"/>
          <w:u w:val="single"/>
        </w:rPr>
        <w:t xml:space="preserve">:00 </w:t>
      </w:r>
      <w:r>
        <w:rPr>
          <w:rFonts w:hint="eastAsia" w:ascii="宋体" w:hAnsi="宋体"/>
          <w:color w:val="auto"/>
          <w:szCs w:val="28"/>
          <w:highlight w:val="none"/>
        </w:rPr>
        <w:t>，在</w:t>
      </w:r>
      <w:r>
        <w:rPr>
          <w:rFonts w:hint="eastAsia"/>
          <w:color w:val="auto"/>
          <w:highlight w:val="none"/>
          <w:u w:val="single"/>
        </w:rPr>
        <w:t>凉山州兴德建设有限责任公司（德昌县德泰家院幸福里3栋1单元18-1办公室）</w:t>
      </w:r>
      <w:r>
        <w:rPr>
          <w:rFonts w:hint="eastAsia" w:ascii="宋体" w:hAnsi="宋体"/>
          <w:color w:val="auto"/>
          <w:szCs w:val="28"/>
          <w:highlight w:val="none"/>
        </w:rPr>
        <w:t>开标。</w:t>
      </w:r>
    </w:p>
    <w:p>
      <w:pPr>
        <w:ind w:firstLine="560" w:firstLineChars="200"/>
        <w:rPr>
          <w:rFonts w:ascii="宋体" w:hAnsi="宋体"/>
          <w:color w:val="auto"/>
          <w:szCs w:val="28"/>
          <w:highlight w:val="none"/>
        </w:rPr>
      </w:pPr>
      <w:r>
        <w:rPr>
          <w:rFonts w:hint="eastAsia"/>
          <w:color w:val="auto"/>
          <w:highlight w:val="none"/>
        </w:rPr>
        <w:t>截止时间后收到的谈判资料无效，</w:t>
      </w:r>
      <w:r>
        <w:rPr>
          <w:rFonts w:hint="eastAsia" w:ascii="宋体" w:hAnsi="宋体"/>
          <w:color w:val="auto"/>
          <w:szCs w:val="28"/>
          <w:highlight w:val="none"/>
        </w:rPr>
        <w:t>将拒绝其参加竞争性谈判。</w:t>
      </w:r>
    </w:p>
    <w:p>
      <w:pPr>
        <w:ind w:firstLine="560" w:firstLineChars="200"/>
        <w:rPr>
          <w:rFonts w:ascii="宋体" w:hAnsi="宋体"/>
          <w:color w:val="auto"/>
          <w:szCs w:val="28"/>
          <w:highlight w:val="none"/>
        </w:rPr>
      </w:pPr>
      <w:r>
        <w:rPr>
          <w:rFonts w:hint="eastAsia" w:ascii="宋体" w:hAnsi="宋体"/>
          <w:color w:val="auto"/>
          <w:szCs w:val="28"/>
          <w:highlight w:val="none"/>
        </w:rPr>
        <w:t>10、工作内容：</w:t>
      </w:r>
      <w:r>
        <w:rPr>
          <w:rFonts w:hint="eastAsia"/>
          <w:color w:val="auto"/>
          <w:highlight w:val="none"/>
        </w:rPr>
        <w:t>依据建设工程质量检验评定标准、规范及试验检测相关标准、规范要求（无明确要求的可参照公路工程质量检验评定标准、规范及相关要求）</w:t>
      </w:r>
      <w:r>
        <w:rPr>
          <w:rFonts w:hint="eastAsia" w:ascii="宋体" w:hAnsi="宋体"/>
          <w:color w:val="auto"/>
          <w:szCs w:val="28"/>
          <w:highlight w:val="none"/>
        </w:rPr>
        <w:t>完成相关检测方案编制、报审，并完成</w:t>
      </w:r>
      <w:r>
        <w:rPr>
          <w:rFonts w:hint="eastAsia"/>
          <w:color w:val="auto"/>
          <w:highlight w:val="none"/>
        </w:rPr>
        <w:t>对安宁河特大桥2023年12月4日前已完工实体不限于本谈判文件及清单所列的全部检测内容（</w:t>
      </w:r>
      <w:r>
        <w:rPr>
          <w:rFonts w:hint="eastAsia" w:ascii="宋体" w:hAnsi="宋体"/>
          <w:color w:val="auto"/>
          <w:szCs w:val="28"/>
          <w:highlight w:val="none"/>
        </w:rPr>
        <w:t>谈判申请人须根据现行相关标准、规范要求对须进行的检测项目进行补充并完成检测，</w:t>
      </w:r>
      <w:r>
        <w:rPr>
          <w:rFonts w:hint="eastAsia"/>
          <w:color w:val="auto"/>
          <w:highlight w:val="none"/>
        </w:rPr>
        <w:t>不包含桩基等已完全隐蔽覆盖部位）；</w:t>
      </w:r>
      <w:r>
        <w:rPr>
          <w:rFonts w:hint="eastAsia" w:ascii="宋体" w:hAnsi="宋体"/>
          <w:color w:val="auto"/>
          <w:szCs w:val="28"/>
          <w:highlight w:val="none"/>
        </w:rPr>
        <w:t>对本项目2023年12月4日前已完成的工程实体进行其他必要的检查，若存在相关质量问题则提出进一步检测方案经谈判人批准后开展进一步检测（增加的相关检测费用双方另行协商）；</w:t>
      </w:r>
      <w:r>
        <w:rPr>
          <w:rFonts w:hint="eastAsia"/>
          <w:color w:val="auto"/>
          <w:highlight w:val="none"/>
        </w:rPr>
        <w:t>根据检测数据对检测的工程实体进行质量评定（鉴定）并出具检测报告（</w:t>
      </w:r>
      <w:r>
        <w:rPr>
          <w:rFonts w:hint="eastAsia" w:ascii="宋体" w:hAnsi="宋体"/>
          <w:color w:val="auto"/>
          <w:szCs w:val="28"/>
          <w:highlight w:val="none"/>
        </w:rPr>
        <w:t>检测工作完成后15天内向谈判人提供5份完整的正式检测报告</w:t>
      </w:r>
      <w:r>
        <w:rPr>
          <w:rFonts w:hint="eastAsia"/>
          <w:color w:val="auto"/>
          <w:highlight w:val="none"/>
        </w:rPr>
        <w:t>），检测报告须明确检测评定（鉴定）结果是否合格。</w:t>
      </w:r>
    </w:p>
    <w:p>
      <w:pPr>
        <w:ind w:firstLine="420" w:firstLineChars="150"/>
        <w:rPr>
          <w:rFonts w:ascii="宋体" w:hAnsi="宋体"/>
          <w:color w:val="auto"/>
          <w:szCs w:val="28"/>
          <w:highlight w:val="none"/>
        </w:rPr>
      </w:pPr>
      <w:r>
        <w:rPr>
          <w:rFonts w:hint="eastAsia" w:ascii="宋体" w:hAnsi="宋体"/>
          <w:color w:val="auto"/>
          <w:szCs w:val="28"/>
          <w:highlight w:val="none"/>
        </w:rPr>
        <w:t>11、质量要求</w:t>
      </w:r>
    </w:p>
    <w:p>
      <w:pPr>
        <w:ind w:firstLine="476" w:firstLineChars="170"/>
        <w:rPr>
          <w:rFonts w:ascii="宋体" w:hAnsi="宋体"/>
          <w:color w:val="auto"/>
          <w:szCs w:val="28"/>
          <w:highlight w:val="none"/>
        </w:rPr>
      </w:pPr>
      <w:r>
        <w:rPr>
          <w:rFonts w:hint="eastAsia" w:ascii="宋体" w:hAnsi="宋体"/>
          <w:color w:val="auto"/>
          <w:szCs w:val="28"/>
          <w:highlight w:val="none"/>
        </w:rPr>
        <w:t>满足国家相关规程、规范及技术标准的要求，还应满足甲方的检测需求。</w:t>
      </w:r>
    </w:p>
    <w:p>
      <w:pPr>
        <w:ind w:firstLine="420" w:firstLineChars="150"/>
        <w:rPr>
          <w:rFonts w:ascii="宋体" w:hAnsi="宋体"/>
          <w:color w:val="auto"/>
          <w:szCs w:val="28"/>
          <w:highlight w:val="none"/>
        </w:rPr>
      </w:pPr>
      <w:r>
        <w:rPr>
          <w:rFonts w:hint="eastAsia" w:ascii="宋体" w:hAnsi="宋体"/>
          <w:color w:val="auto"/>
          <w:szCs w:val="28"/>
          <w:highlight w:val="none"/>
        </w:rPr>
        <w:t>12、有下列情形之一者将被取消参选资格</w:t>
      </w:r>
    </w:p>
    <w:p>
      <w:pPr>
        <w:ind w:firstLine="420" w:firstLineChars="150"/>
        <w:rPr>
          <w:rFonts w:hint="eastAsia" w:ascii="宋体" w:hAnsi="宋体" w:eastAsia="宋体"/>
          <w:color w:val="auto"/>
          <w:szCs w:val="28"/>
          <w:highlight w:val="none"/>
          <w:lang w:eastAsia="zh-CN"/>
        </w:rPr>
      </w:pPr>
      <w:r>
        <w:rPr>
          <w:rFonts w:hint="eastAsia" w:ascii="宋体" w:hAnsi="宋体"/>
          <w:color w:val="auto"/>
          <w:szCs w:val="28"/>
          <w:highlight w:val="none"/>
        </w:rPr>
        <w:t>12.1未按规定提交资料的</w:t>
      </w:r>
      <w:r>
        <w:rPr>
          <w:rFonts w:hint="eastAsia" w:ascii="宋体" w:hAnsi="宋体"/>
          <w:color w:val="auto"/>
          <w:szCs w:val="28"/>
          <w:highlight w:val="none"/>
          <w:lang w:eastAsia="zh-CN"/>
        </w:rPr>
        <w:t>；</w:t>
      </w:r>
    </w:p>
    <w:p>
      <w:pPr>
        <w:ind w:firstLine="420" w:firstLineChars="150"/>
        <w:rPr>
          <w:rFonts w:hint="eastAsia" w:ascii="宋体" w:hAnsi="宋体" w:eastAsia="宋体"/>
          <w:color w:val="auto"/>
          <w:szCs w:val="28"/>
          <w:highlight w:val="none"/>
          <w:lang w:eastAsia="zh-CN"/>
        </w:rPr>
      </w:pPr>
      <w:r>
        <w:rPr>
          <w:rFonts w:hint="eastAsia" w:ascii="宋体" w:hAnsi="宋体"/>
          <w:color w:val="auto"/>
          <w:szCs w:val="28"/>
          <w:highlight w:val="none"/>
        </w:rPr>
        <w:t>12.2 近三年提供的服务因重大执业质量等问题受到行政主管部门通报的</w:t>
      </w:r>
      <w:r>
        <w:rPr>
          <w:rFonts w:hint="eastAsia" w:ascii="宋体" w:hAnsi="宋体"/>
          <w:color w:val="auto"/>
          <w:szCs w:val="28"/>
          <w:highlight w:val="none"/>
          <w:lang w:eastAsia="zh-CN"/>
        </w:rPr>
        <w:t>；</w:t>
      </w:r>
    </w:p>
    <w:p>
      <w:pPr>
        <w:ind w:firstLine="420" w:firstLineChars="150"/>
        <w:rPr>
          <w:rFonts w:hint="eastAsia" w:ascii="宋体" w:hAnsi="宋体" w:eastAsia="宋体"/>
          <w:color w:val="auto"/>
          <w:szCs w:val="28"/>
          <w:highlight w:val="none"/>
          <w:lang w:eastAsia="zh-CN"/>
        </w:rPr>
      </w:pPr>
      <w:r>
        <w:rPr>
          <w:rFonts w:hint="eastAsia" w:ascii="宋体" w:hAnsi="宋体"/>
          <w:color w:val="auto"/>
          <w:szCs w:val="28"/>
          <w:highlight w:val="none"/>
        </w:rPr>
        <w:t>12.3 不遵守评选会场秩序、扰乱会场纪律的</w:t>
      </w:r>
      <w:r>
        <w:rPr>
          <w:rFonts w:hint="eastAsia" w:ascii="宋体" w:hAnsi="宋体"/>
          <w:color w:val="auto"/>
          <w:szCs w:val="28"/>
          <w:highlight w:val="none"/>
          <w:lang w:eastAsia="zh-CN"/>
        </w:rPr>
        <w:t>；</w:t>
      </w:r>
    </w:p>
    <w:p>
      <w:pPr>
        <w:ind w:firstLine="420" w:firstLineChars="150"/>
        <w:rPr>
          <w:rFonts w:hint="eastAsia" w:ascii="宋体" w:hAnsi="宋体" w:eastAsia="宋体"/>
          <w:color w:val="auto"/>
          <w:szCs w:val="28"/>
          <w:highlight w:val="none"/>
          <w:lang w:eastAsia="zh-CN"/>
        </w:rPr>
      </w:pPr>
      <w:r>
        <w:rPr>
          <w:rFonts w:hint="eastAsia" w:ascii="宋体" w:hAnsi="宋体"/>
          <w:color w:val="auto"/>
          <w:szCs w:val="28"/>
          <w:highlight w:val="none"/>
        </w:rPr>
        <w:t>12.4 未按规定时间递交竞争性谈判文件</w:t>
      </w:r>
      <w:r>
        <w:rPr>
          <w:rFonts w:hint="eastAsia" w:ascii="宋体" w:hAnsi="宋体"/>
          <w:color w:val="auto"/>
          <w:szCs w:val="28"/>
          <w:highlight w:val="none"/>
          <w:lang w:eastAsia="zh-CN"/>
        </w:rPr>
        <w:t>。</w:t>
      </w:r>
    </w:p>
    <w:p>
      <w:pPr>
        <w:spacing w:line="560" w:lineRule="exact"/>
        <w:ind w:firstLine="420" w:firstLineChars="150"/>
        <w:rPr>
          <w:rFonts w:ascii="宋体" w:hAnsi="宋体"/>
          <w:color w:val="auto"/>
          <w:szCs w:val="28"/>
          <w:highlight w:val="none"/>
        </w:rPr>
      </w:pPr>
      <w:r>
        <w:rPr>
          <w:rFonts w:hint="eastAsia" w:ascii="宋体" w:hAnsi="宋体"/>
          <w:color w:val="auto"/>
          <w:szCs w:val="28"/>
          <w:highlight w:val="none"/>
        </w:rPr>
        <w:t>13、评选活动参加人员</w:t>
      </w:r>
    </w:p>
    <w:p>
      <w:pPr>
        <w:spacing w:line="560" w:lineRule="exact"/>
        <w:ind w:firstLine="560" w:firstLineChars="200"/>
        <w:rPr>
          <w:rFonts w:ascii="宋体" w:hAnsi="宋体"/>
          <w:color w:val="auto"/>
          <w:szCs w:val="28"/>
          <w:highlight w:val="none"/>
        </w:rPr>
      </w:pPr>
      <w:r>
        <w:rPr>
          <w:rFonts w:hint="eastAsia" w:ascii="宋体" w:hAnsi="宋体"/>
          <w:color w:val="auto"/>
          <w:szCs w:val="28"/>
          <w:highlight w:val="none"/>
        </w:rPr>
        <w:t>招选人组建的评选小组，参选人代表。</w:t>
      </w:r>
    </w:p>
    <w:p>
      <w:pPr>
        <w:ind w:firstLine="560" w:firstLineChars="200"/>
        <w:rPr>
          <w:rFonts w:ascii="宋体" w:hAnsi="宋体"/>
          <w:color w:val="auto"/>
          <w:szCs w:val="28"/>
          <w:highlight w:val="none"/>
        </w:rPr>
      </w:pPr>
      <w:r>
        <w:rPr>
          <w:rFonts w:hint="eastAsia" w:ascii="宋体" w:hAnsi="宋体"/>
          <w:color w:val="auto"/>
          <w:szCs w:val="28"/>
          <w:highlight w:val="none"/>
        </w:rPr>
        <w:t>14、评标标准</w:t>
      </w:r>
    </w:p>
    <w:p>
      <w:pPr>
        <w:pStyle w:val="9"/>
        <w:widowControl/>
        <w:ind w:firstLine="562" w:firstLineChars="200"/>
        <w:rPr>
          <w:rFonts w:ascii="宋体" w:hAnsi="宋体" w:cstheme="minorBidi"/>
          <w:b/>
          <w:color w:val="auto"/>
          <w:kern w:val="2"/>
          <w:sz w:val="28"/>
          <w:szCs w:val="28"/>
          <w:highlight w:val="none"/>
        </w:rPr>
      </w:pPr>
      <w:r>
        <w:rPr>
          <w:rFonts w:hint="eastAsia" w:ascii="宋体" w:hAnsi="宋体" w:cstheme="minorBidi"/>
          <w:b/>
          <w:color w:val="auto"/>
          <w:kern w:val="2"/>
          <w:sz w:val="28"/>
          <w:szCs w:val="28"/>
          <w:highlight w:val="none"/>
        </w:rPr>
        <w:t>谈判小组宣读第一次报价后与各申请人进行谈判，谈判后请各申请单位现场进行第二轮次报价。申请人将第二次报价密封递交后即可离场。</w:t>
      </w:r>
    </w:p>
    <w:p>
      <w:pPr>
        <w:pStyle w:val="9"/>
        <w:widowControl/>
        <w:ind w:firstLine="562" w:firstLineChars="200"/>
        <w:rPr>
          <w:rFonts w:ascii="宋体" w:hAnsi="宋体"/>
          <w:b/>
          <w:bCs/>
          <w:color w:val="auto"/>
          <w:szCs w:val="28"/>
          <w:highlight w:val="none"/>
        </w:rPr>
      </w:pPr>
      <w:r>
        <w:rPr>
          <w:rFonts w:hint="eastAsia" w:ascii="宋体" w:hAnsi="宋体" w:cstheme="minorBidi"/>
          <w:b/>
          <w:color w:val="auto"/>
          <w:kern w:val="2"/>
          <w:sz w:val="28"/>
          <w:szCs w:val="28"/>
          <w:highlight w:val="none"/>
        </w:rPr>
        <w:t>谈判小组最终按照符合资格要求且第二次报价最低的原则确定中标人。</w:t>
      </w:r>
    </w:p>
    <w:p>
      <w:pPr>
        <w:ind w:firstLine="548" w:firstLineChars="196"/>
        <w:rPr>
          <w:rFonts w:ascii="宋体" w:hAnsi="宋体"/>
          <w:bCs/>
          <w:color w:val="auto"/>
          <w:szCs w:val="28"/>
          <w:highlight w:val="none"/>
        </w:rPr>
      </w:pPr>
      <w:r>
        <w:rPr>
          <w:rFonts w:hint="eastAsia" w:ascii="宋体" w:hAnsi="宋体"/>
          <w:bCs/>
          <w:color w:val="auto"/>
          <w:szCs w:val="28"/>
          <w:highlight w:val="none"/>
        </w:rPr>
        <w:t>15、谈判申请人编制</w:t>
      </w:r>
      <w:r>
        <w:rPr>
          <w:rFonts w:hint="eastAsia" w:ascii="宋体" w:hAnsi="宋体"/>
          <w:color w:val="auto"/>
          <w:szCs w:val="28"/>
          <w:highlight w:val="none"/>
        </w:rPr>
        <w:t>竞争性谈判文件</w:t>
      </w:r>
      <w:r>
        <w:rPr>
          <w:rFonts w:hint="eastAsia" w:ascii="宋体" w:hAnsi="宋体"/>
          <w:bCs/>
          <w:color w:val="auto"/>
          <w:szCs w:val="28"/>
          <w:highlight w:val="none"/>
        </w:rPr>
        <w:t>至少应具备以下资料：</w:t>
      </w:r>
    </w:p>
    <w:p>
      <w:pPr>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15.1 企业法人资格证明书（复印件加盖鲜章）</w:t>
      </w:r>
      <w:r>
        <w:rPr>
          <w:rFonts w:hint="eastAsia" w:ascii="宋体" w:hAnsi="宋体"/>
          <w:color w:val="auto"/>
          <w:szCs w:val="28"/>
          <w:highlight w:val="none"/>
          <w:lang w:eastAsia="zh-CN"/>
        </w:rPr>
        <w:t>；</w:t>
      </w:r>
    </w:p>
    <w:p>
      <w:pPr>
        <w:ind w:firstLine="548" w:firstLineChars="196"/>
        <w:rPr>
          <w:rFonts w:hint="eastAsia" w:ascii="宋体" w:hAnsi="宋体" w:eastAsia="宋体"/>
          <w:color w:val="auto"/>
          <w:szCs w:val="28"/>
          <w:highlight w:val="none"/>
          <w:lang w:eastAsia="zh-CN"/>
        </w:rPr>
      </w:pPr>
      <w:r>
        <w:rPr>
          <w:rFonts w:hint="eastAsia" w:ascii="宋体" w:hAnsi="宋体"/>
          <w:color w:val="auto"/>
          <w:szCs w:val="28"/>
          <w:highlight w:val="none"/>
        </w:rPr>
        <w:t>15.2 企业法定代表人签署的授权委托书</w:t>
      </w:r>
      <w:r>
        <w:rPr>
          <w:rFonts w:hint="eastAsia" w:ascii="宋体" w:hAnsi="宋体"/>
          <w:color w:val="auto"/>
          <w:szCs w:val="28"/>
          <w:highlight w:val="none"/>
          <w:lang w:eastAsia="zh-CN"/>
        </w:rPr>
        <w:t>；</w:t>
      </w:r>
    </w:p>
    <w:p>
      <w:pPr>
        <w:ind w:firstLine="562" w:firstLineChars="200"/>
        <w:rPr>
          <w:rFonts w:ascii="宋体" w:hAnsi="宋体"/>
          <w:b/>
          <w:bCs/>
          <w:color w:val="auto"/>
          <w:szCs w:val="28"/>
          <w:highlight w:val="none"/>
        </w:rPr>
      </w:pPr>
      <w:r>
        <w:rPr>
          <w:rFonts w:hint="eastAsia" w:ascii="宋体" w:hAnsi="宋体"/>
          <w:b/>
          <w:bCs/>
          <w:color w:val="auto"/>
          <w:szCs w:val="28"/>
          <w:highlight w:val="none"/>
        </w:rPr>
        <w:t>15.3 谈判申请人资信文件;</w:t>
      </w:r>
    </w:p>
    <w:p>
      <w:pPr>
        <w:ind w:firstLine="560" w:firstLineChars="200"/>
        <w:rPr>
          <w:rFonts w:ascii="宋体" w:hAnsi="宋体"/>
          <w:color w:val="auto"/>
          <w:szCs w:val="28"/>
          <w:highlight w:val="none"/>
        </w:rPr>
      </w:pPr>
      <w:r>
        <w:rPr>
          <w:rFonts w:hint="eastAsia" w:ascii="宋体" w:hAnsi="宋体"/>
          <w:color w:val="auto"/>
          <w:szCs w:val="28"/>
          <w:highlight w:val="none"/>
        </w:rPr>
        <w:t>15.3.1 谈判申请人的资信文件应提供下列有效证书的复印件并加盖公章；</w:t>
      </w:r>
    </w:p>
    <w:p>
      <w:pPr>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15.3.1.1营业执照副本（复印件加盖鲜章）</w:t>
      </w:r>
      <w:r>
        <w:rPr>
          <w:rFonts w:hint="eastAsia" w:ascii="宋体" w:hAnsi="宋体"/>
          <w:color w:val="auto"/>
          <w:szCs w:val="28"/>
          <w:highlight w:val="none"/>
          <w:lang w:eastAsia="zh-CN"/>
        </w:rPr>
        <w:t>；</w:t>
      </w:r>
    </w:p>
    <w:p>
      <w:pPr>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15.3.1.2 业绩证明资料，提供中标（选）通知书或合同协议书（复印件加盖鲜章）</w:t>
      </w:r>
      <w:r>
        <w:rPr>
          <w:rFonts w:hint="eastAsia" w:ascii="宋体" w:hAnsi="宋体"/>
          <w:color w:val="auto"/>
          <w:szCs w:val="28"/>
          <w:highlight w:val="none"/>
          <w:lang w:eastAsia="zh-CN"/>
        </w:rPr>
        <w:t>；</w:t>
      </w:r>
    </w:p>
    <w:p>
      <w:pPr>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15.3.1.3单位资质（资格）证明文件（复印件加盖鲜章）</w:t>
      </w:r>
      <w:r>
        <w:rPr>
          <w:rFonts w:hint="eastAsia" w:ascii="宋体" w:hAnsi="宋体"/>
          <w:color w:val="auto"/>
          <w:szCs w:val="28"/>
          <w:highlight w:val="none"/>
          <w:lang w:eastAsia="zh-CN"/>
        </w:rPr>
        <w:t>；</w:t>
      </w:r>
    </w:p>
    <w:p>
      <w:pPr>
        <w:pStyle w:val="4"/>
        <w:ind w:left="560"/>
        <w:rPr>
          <w:rFonts w:hint="eastAsia" w:eastAsia="宋体"/>
          <w:color w:val="auto"/>
          <w:highlight w:val="none"/>
          <w:lang w:eastAsia="zh-CN"/>
        </w:rPr>
      </w:pPr>
      <w:r>
        <w:rPr>
          <w:rFonts w:hint="eastAsia" w:ascii="宋体" w:hAnsi="宋体" w:eastAsia="宋体" w:cstheme="minorBidi"/>
          <w:color w:val="auto"/>
          <w:kern w:val="2"/>
          <w:sz w:val="28"/>
          <w:szCs w:val="28"/>
          <w:highlight w:val="none"/>
          <w:lang w:val="en-US" w:eastAsia="zh-CN" w:bidi="ar-SA"/>
        </w:rPr>
        <w:t>15.3.1.4</w:t>
      </w:r>
      <w:r>
        <w:rPr>
          <w:rFonts w:hint="eastAsia"/>
          <w:color w:val="auto"/>
          <w:highlight w:val="none"/>
        </w:rPr>
        <w:t>人员资质（资格）证明文件</w:t>
      </w:r>
      <w:r>
        <w:rPr>
          <w:rFonts w:hint="eastAsia" w:ascii="宋体" w:hAnsi="宋体"/>
          <w:color w:val="auto"/>
          <w:szCs w:val="28"/>
          <w:highlight w:val="none"/>
        </w:rPr>
        <w:t>（复印件加盖鲜章）</w:t>
      </w:r>
      <w:r>
        <w:rPr>
          <w:rFonts w:hint="eastAsia" w:ascii="宋体" w:hAnsi="宋体"/>
          <w:color w:val="auto"/>
          <w:szCs w:val="28"/>
          <w:highlight w:val="none"/>
          <w:lang w:eastAsia="zh-CN"/>
        </w:rPr>
        <w:t>；</w:t>
      </w:r>
    </w:p>
    <w:p>
      <w:pPr>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 xml:space="preserve">15.3.1.5竞争性谈判报价表（第一次报价） </w:t>
      </w:r>
      <w:r>
        <w:rPr>
          <w:rFonts w:hint="eastAsia" w:ascii="宋体" w:hAnsi="宋体"/>
          <w:color w:val="auto"/>
          <w:szCs w:val="28"/>
          <w:highlight w:val="none"/>
          <w:lang w:eastAsia="zh-CN"/>
        </w:rPr>
        <w:t>；</w:t>
      </w:r>
    </w:p>
    <w:p>
      <w:pPr>
        <w:pStyle w:val="4"/>
        <w:ind w:left="560"/>
        <w:rPr>
          <w:color w:val="auto"/>
          <w:highlight w:val="none"/>
        </w:rPr>
      </w:pPr>
      <w:r>
        <w:rPr>
          <w:rFonts w:hint="eastAsia" w:ascii="宋体" w:hAnsi="宋体"/>
          <w:color w:val="auto"/>
          <w:szCs w:val="28"/>
          <w:highlight w:val="none"/>
        </w:rPr>
        <w:t>15.3.1.6本谈判文件要求的其他文件。</w:t>
      </w:r>
    </w:p>
    <w:p>
      <w:pPr>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15.4 谈判申请人报价单(第一次报价)，谈判人根据报价从高到低的顺序与各谈判申请人分别进行谈判,如出现相同报价则根据签到时间的先后顺序进行谈判。逐家谈判一次为一个轮次，谈判轮次的数量由谈判小组视情况决定。在谈判中，谈判的任何一方不得透露与谈判有关的其他被邀请单位的资料、价格和其他信息</w:t>
      </w:r>
      <w:r>
        <w:rPr>
          <w:rFonts w:hint="eastAsia" w:ascii="宋体" w:hAnsi="宋体"/>
          <w:color w:val="auto"/>
          <w:szCs w:val="28"/>
          <w:highlight w:val="none"/>
          <w:lang w:eastAsia="zh-CN"/>
        </w:rPr>
        <w:t>。</w:t>
      </w:r>
    </w:p>
    <w:p>
      <w:pPr>
        <w:ind w:firstLine="560" w:firstLineChars="200"/>
        <w:rPr>
          <w:rFonts w:ascii="宋体" w:hAnsi="宋体"/>
          <w:color w:val="auto"/>
          <w:szCs w:val="28"/>
          <w:highlight w:val="none"/>
        </w:rPr>
      </w:pPr>
      <w:r>
        <w:rPr>
          <w:rFonts w:hint="eastAsia" w:ascii="宋体" w:hAnsi="宋体"/>
          <w:color w:val="auto"/>
          <w:szCs w:val="28"/>
          <w:highlight w:val="none"/>
        </w:rPr>
        <w:t>15.5 谈判申请人的检测方案，谈判文件须附检测方案，检测方案须满足现行相关标准、规范要求，并保证能通过项目监理、业主及主管部门的审核要求。</w:t>
      </w:r>
    </w:p>
    <w:p>
      <w:pPr>
        <w:ind w:left="538"/>
        <w:rPr>
          <w:rFonts w:ascii="宋体" w:hAnsi="宋体"/>
          <w:color w:val="auto"/>
          <w:szCs w:val="28"/>
          <w:highlight w:val="none"/>
        </w:rPr>
      </w:pPr>
      <w:r>
        <w:rPr>
          <w:rFonts w:hint="eastAsia" w:ascii="宋体" w:hAnsi="宋体"/>
          <w:color w:val="auto"/>
          <w:szCs w:val="28"/>
          <w:highlight w:val="none"/>
        </w:rPr>
        <w:t>16、合同签订</w:t>
      </w:r>
    </w:p>
    <w:p>
      <w:pPr>
        <w:ind w:firstLine="537" w:firstLineChars="192"/>
        <w:rPr>
          <w:rFonts w:ascii="宋体" w:hAnsi="宋体"/>
          <w:color w:val="auto"/>
          <w:szCs w:val="28"/>
          <w:highlight w:val="none"/>
        </w:rPr>
      </w:pPr>
      <w:r>
        <w:rPr>
          <w:rFonts w:hint="eastAsia" w:ascii="宋体" w:hAnsi="宋体"/>
          <w:color w:val="auto"/>
          <w:szCs w:val="28"/>
          <w:highlight w:val="none"/>
        </w:rPr>
        <w:t>16.1竞争性谈判结束并公布结果后，项目业主将和中选单位在</w:t>
      </w:r>
      <w:r>
        <w:rPr>
          <w:rFonts w:hint="eastAsia" w:ascii="宋体" w:hAnsi="宋体"/>
          <w:color w:val="auto"/>
          <w:szCs w:val="28"/>
          <w:highlight w:val="none"/>
          <w:u w:val="single"/>
        </w:rPr>
        <w:t>5</w:t>
      </w:r>
      <w:r>
        <w:rPr>
          <w:rFonts w:hint="eastAsia" w:ascii="宋体" w:hAnsi="宋体"/>
          <w:color w:val="auto"/>
          <w:szCs w:val="28"/>
          <w:highlight w:val="none"/>
        </w:rPr>
        <w:t>个工作日内签订合同。</w:t>
      </w:r>
    </w:p>
    <w:p>
      <w:pPr>
        <w:ind w:firstLine="537" w:firstLineChars="192"/>
        <w:rPr>
          <w:rFonts w:ascii="宋体" w:hAnsi="宋体"/>
          <w:color w:val="auto"/>
          <w:szCs w:val="28"/>
          <w:highlight w:val="none"/>
        </w:rPr>
      </w:pPr>
      <w:r>
        <w:rPr>
          <w:rFonts w:hint="eastAsia" w:ascii="宋体" w:hAnsi="宋体"/>
          <w:color w:val="auto"/>
          <w:szCs w:val="28"/>
          <w:highlight w:val="none"/>
        </w:rPr>
        <w:t>17、其他事宜</w:t>
      </w:r>
    </w:p>
    <w:p>
      <w:pPr>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17.1本次竞争性谈判</w:t>
      </w:r>
      <w:r>
        <w:rPr>
          <w:rFonts w:hint="eastAsia" w:ascii="宋体" w:hAnsi="宋体"/>
          <w:b/>
          <w:color w:val="auto"/>
          <w:szCs w:val="28"/>
          <w:highlight w:val="none"/>
          <w:u w:val="single"/>
        </w:rPr>
        <w:t>不接受</w:t>
      </w:r>
      <w:r>
        <w:rPr>
          <w:rFonts w:hint="eastAsia" w:ascii="宋体" w:hAnsi="宋体"/>
          <w:color w:val="auto"/>
          <w:szCs w:val="28"/>
          <w:highlight w:val="none"/>
        </w:rPr>
        <w:t>联合体投标，不能转包或分包</w:t>
      </w:r>
      <w:r>
        <w:rPr>
          <w:rFonts w:hint="eastAsia" w:ascii="宋体" w:hAnsi="宋体"/>
          <w:color w:val="auto"/>
          <w:szCs w:val="28"/>
          <w:highlight w:val="none"/>
          <w:lang w:eastAsia="zh-CN"/>
        </w:rPr>
        <w:t>；</w:t>
      </w:r>
    </w:p>
    <w:p>
      <w:pPr>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17.2被邀请单位须参加以上项目的竞争性谈判</w:t>
      </w:r>
      <w:r>
        <w:rPr>
          <w:rFonts w:hint="eastAsia" w:ascii="宋体" w:hAnsi="宋体"/>
          <w:color w:val="auto"/>
          <w:szCs w:val="28"/>
          <w:highlight w:val="none"/>
          <w:lang w:eastAsia="zh-CN"/>
        </w:rPr>
        <w:t>；</w:t>
      </w:r>
    </w:p>
    <w:p>
      <w:pPr>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17.3被邀请单位需提供企业法人资格证明书原件或企业法定代表人签署的授权委托书及被授权代理人身份证原件供查验</w:t>
      </w:r>
      <w:r>
        <w:rPr>
          <w:rFonts w:hint="eastAsia" w:ascii="宋体" w:hAnsi="宋体"/>
          <w:color w:val="auto"/>
          <w:szCs w:val="28"/>
          <w:highlight w:val="none"/>
          <w:lang w:eastAsia="zh-CN"/>
        </w:rPr>
        <w:t>；</w:t>
      </w:r>
    </w:p>
    <w:p>
      <w:pPr>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17.4本次竞争性谈判，业主不组织进行现场踏勘和召开投标预备会</w:t>
      </w:r>
      <w:r>
        <w:rPr>
          <w:rFonts w:hint="eastAsia" w:ascii="宋体" w:hAnsi="宋体"/>
          <w:color w:val="auto"/>
          <w:szCs w:val="28"/>
          <w:highlight w:val="none"/>
          <w:lang w:eastAsia="zh-CN"/>
        </w:rPr>
        <w:t>；</w:t>
      </w:r>
    </w:p>
    <w:p>
      <w:pPr>
        <w:ind w:firstLine="537" w:firstLineChars="192"/>
        <w:rPr>
          <w:rFonts w:ascii="宋体" w:hAnsi="宋体"/>
          <w:color w:val="auto"/>
          <w:szCs w:val="28"/>
          <w:highlight w:val="none"/>
        </w:rPr>
      </w:pPr>
      <w:r>
        <w:rPr>
          <w:rFonts w:hint="eastAsia" w:ascii="宋体" w:hAnsi="宋体"/>
          <w:color w:val="auto"/>
          <w:szCs w:val="28"/>
          <w:highlight w:val="none"/>
        </w:rPr>
        <w:t>17.5有关本次邀请的其他事宜,请与谈判人（凉山州兴德建设有限责任公司）联系。</w:t>
      </w:r>
    </w:p>
    <w:p>
      <w:pPr>
        <w:rPr>
          <w:color w:val="auto"/>
          <w:highlight w:val="none"/>
        </w:rPr>
      </w:pPr>
    </w:p>
    <w:p>
      <w:pPr>
        <w:spacing w:line="360" w:lineRule="exact"/>
        <w:rPr>
          <w:rFonts w:ascii="宋体" w:hAnsi="宋体"/>
          <w:b/>
          <w:color w:val="auto"/>
          <w:sz w:val="36"/>
          <w:szCs w:val="36"/>
          <w:highlight w:val="none"/>
        </w:rPr>
      </w:pPr>
      <w:r>
        <w:rPr>
          <w:rFonts w:hint="eastAsia" w:ascii="宋体" w:hAnsi="宋体"/>
          <w:color w:val="auto"/>
          <w:szCs w:val="28"/>
          <w:highlight w:val="none"/>
        </w:rPr>
        <w:t>附件一</w:t>
      </w:r>
    </w:p>
    <w:p>
      <w:pPr>
        <w:jc w:val="center"/>
        <w:rPr>
          <w:rFonts w:ascii="宋体" w:hAnsi="宋体"/>
          <w:b/>
          <w:color w:val="auto"/>
          <w:sz w:val="36"/>
          <w:szCs w:val="36"/>
          <w:highlight w:val="none"/>
        </w:rPr>
      </w:pPr>
      <w:r>
        <w:rPr>
          <w:rFonts w:hint="eastAsia" w:ascii="宋体" w:hAnsi="宋体"/>
          <w:b/>
          <w:color w:val="auto"/>
          <w:sz w:val="36"/>
          <w:szCs w:val="36"/>
          <w:highlight w:val="none"/>
        </w:rPr>
        <w:t>竞争性谈判报价表</w:t>
      </w:r>
    </w:p>
    <w:p>
      <w:pPr>
        <w:jc w:val="center"/>
        <w:rPr>
          <w:rFonts w:ascii="宋体" w:hAnsi="宋体"/>
          <w:b/>
          <w:color w:val="auto"/>
          <w:sz w:val="36"/>
          <w:szCs w:val="36"/>
          <w:highlight w:val="none"/>
        </w:rPr>
      </w:pPr>
      <w:r>
        <w:rPr>
          <w:rFonts w:hint="eastAsia" w:ascii="宋体" w:hAnsi="宋体"/>
          <w:b/>
          <w:color w:val="auto"/>
          <w:sz w:val="36"/>
          <w:szCs w:val="36"/>
          <w:highlight w:val="none"/>
        </w:rPr>
        <w:t>（第一次报价）</w:t>
      </w:r>
    </w:p>
    <w:p>
      <w:pPr>
        <w:jc w:val="center"/>
        <w:rPr>
          <w:rFonts w:ascii="宋体" w:hAnsi="宋体"/>
          <w:b/>
          <w:color w:val="auto"/>
          <w:sz w:val="36"/>
          <w:szCs w:val="36"/>
          <w:highlight w:val="none"/>
        </w:rPr>
      </w:pPr>
      <w:r>
        <w:rPr>
          <w:rFonts w:hint="eastAsia" w:ascii="宋体" w:hAnsi="宋体"/>
          <w:b/>
          <w:color w:val="auto"/>
          <w:sz w:val="36"/>
          <w:szCs w:val="36"/>
          <w:highlight w:val="none"/>
        </w:rPr>
        <w:t>工程量清单</w:t>
      </w:r>
    </w:p>
    <w:tbl>
      <w:tblPr>
        <w:tblStyle w:val="11"/>
        <w:tblW w:w="0" w:type="auto"/>
        <w:tblInd w:w="98" w:type="dxa"/>
        <w:tblLayout w:type="fixed"/>
        <w:tblCellMar>
          <w:top w:w="0" w:type="dxa"/>
          <w:left w:w="108" w:type="dxa"/>
          <w:bottom w:w="0" w:type="dxa"/>
          <w:right w:w="108" w:type="dxa"/>
        </w:tblCellMar>
      </w:tblPr>
      <w:tblGrid>
        <w:gridCol w:w="752"/>
        <w:gridCol w:w="423"/>
        <w:gridCol w:w="1354"/>
        <w:gridCol w:w="654"/>
        <w:gridCol w:w="654"/>
        <w:gridCol w:w="997"/>
        <w:gridCol w:w="1495"/>
        <w:gridCol w:w="1975"/>
      </w:tblGrid>
      <w:tr>
        <w:tblPrEx>
          <w:tblCellMar>
            <w:top w:w="0" w:type="dxa"/>
            <w:left w:w="108" w:type="dxa"/>
            <w:bottom w:w="0" w:type="dxa"/>
            <w:right w:w="108" w:type="dxa"/>
          </w:tblCellMar>
        </w:tblPrEx>
        <w:trPr>
          <w:trHeight w:val="360" w:hRule="atLeast"/>
        </w:trPr>
        <w:tc>
          <w:tcPr>
            <w:tcW w:w="117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序号</w:t>
            </w:r>
          </w:p>
        </w:tc>
        <w:tc>
          <w:tcPr>
            <w:tcW w:w="13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检测项目</w:t>
            </w:r>
          </w:p>
        </w:tc>
        <w:tc>
          <w:tcPr>
            <w:tcW w:w="6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单位</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检测</w:t>
            </w:r>
          </w:p>
        </w:tc>
        <w:tc>
          <w:tcPr>
            <w:tcW w:w="9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单价（元）</w:t>
            </w:r>
          </w:p>
        </w:tc>
        <w:tc>
          <w:tcPr>
            <w:tcW w:w="14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合计（元）</w:t>
            </w: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备注</w:t>
            </w:r>
          </w:p>
        </w:tc>
      </w:tr>
      <w:tr>
        <w:tblPrEx>
          <w:tblCellMar>
            <w:top w:w="0" w:type="dxa"/>
            <w:left w:w="108" w:type="dxa"/>
            <w:bottom w:w="0" w:type="dxa"/>
            <w:right w:w="108" w:type="dxa"/>
          </w:tblCellMar>
        </w:tblPrEx>
        <w:trPr>
          <w:trHeight w:val="496" w:hRule="atLeast"/>
        </w:trPr>
        <w:tc>
          <w:tcPr>
            <w:tcW w:w="117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3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6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数量</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330" w:hRule="atLeast"/>
        </w:trPr>
        <w:tc>
          <w:tcPr>
            <w:tcW w:w="7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3"/>
                <w:rFonts w:hint="default"/>
                <w:color w:val="auto"/>
                <w:highlight w:val="none"/>
                <w:lang w:bidi="ar"/>
              </w:rPr>
              <w:t>德昌县南环线建设工程（东段）安宁河特大桥</w:t>
            </w: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一、桥梁检测工作直接费用</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271"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1</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混凝土强度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测区</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262"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2</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钢筋间距</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335"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3</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保护层厚度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269"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4</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竖直度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方向</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48</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184"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5</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结构尺寸</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709</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915"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bidi="ar"/>
              </w:rPr>
              <w:t>6</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22"/>
                <w:rFonts w:hint="default"/>
                <w:color w:val="auto"/>
                <w:highlight w:val="none"/>
                <w:lang w:bidi="ar"/>
              </w:rPr>
            </w:pPr>
            <w:r>
              <w:rPr>
                <w:rStyle w:val="22"/>
                <w:color w:val="auto"/>
                <w:highlight w:val="none"/>
                <w:lang w:bidi="ar"/>
              </w:rPr>
              <w:t>其他项目</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22"/>
                <w:rFonts w:hint="default"/>
                <w:color w:val="auto"/>
                <w:highlight w:val="none"/>
                <w:lang w:bidi="ar"/>
              </w:rPr>
            </w:pP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kern w:val="0"/>
                <w:sz w:val="21"/>
                <w:szCs w:val="21"/>
                <w:highlight w:val="none"/>
                <w:lang w:bidi="ar"/>
              </w:rPr>
            </w:pP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由谈判申请人根据相关标准、规范要求对需要进行的结构、实体检测项目进行补充</w:t>
            </w:r>
          </w:p>
        </w:tc>
      </w:tr>
      <w:tr>
        <w:tblPrEx>
          <w:tblCellMar>
            <w:top w:w="0" w:type="dxa"/>
            <w:left w:w="108" w:type="dxa"/>
            <w:bottom w:w="0" w:type="dxa"/>
            <w:right w:w="108" w:type="dxa"/>
          </w:tblCellMar>
        </w:tblPrEx>
        <w:trPr>
          <w:trHeight w:val="33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二、其它费用</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1541"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1</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color w:val="auto"/>
                <w:highlight w:val="none"/>
                <w:lang w:bidi="ar"/>
              </w:rPr>
              <w:t>其他费用</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color w:val="auto"/>
                <w:highlight w:val="none"/>
                <w:lang w:bidi="ar"/>
              </w:rPr>
              <w:t>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bidi="ar"/>
              </w:rPr>
              <w:t>1</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包含食宿费、车辆使用费、登高车、现场检测措施及其他所有费用</w:t>
            </w:r>
          </w:p>
        </w:tc>
      </w:tr>
      <w:tr>
        <w:tblPrEx>
          <w:tblCellMar>
            <w:top w:w="0" w:type="dxa"/>
            <w:left w:w="108" w:type="dxa"/>
            <w:bottom w:w="0" w:type="dxa"/>
            <w:right w:w="108" w:type="dxa"/>
          </w:tblCellMar>
        </w:tblPrEx>
        <w:trPr>
          <w:trHeight w:val="57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三、税金</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税金</w:t>
            </w:r>
            <w:r>
              <w:rPr>
                <w:rStyle w:val="22"/>
                <w:color w:val="auto"/>
                <w:highlight w:val="none"/>
                <w:lang w:bidi="ar"/>
              </w:rPr>
              <w:t>（</w:t>
            </w:r>
            <w:r>
              <w:rPr>
                <w:rStyle w:val="27"/>
                <w:color w:val="auto"/>
                <w:highlight w:val="none"/>
                <w:lang w:bidi="ar"/>
              </w:rPr>
              <w:t>6%</w:t>
            </w:r>
            <w:r>
              <w:rPr>
                <w:rStyle w:val="27"/>
                <w:rFonts w:hint="eastAsia"/>
                <w:color w:val="auto"/>
                <w:highlight w:val="none"/>
                <w:lang w:bidi="ar"/>
              </w:rPr>
              <w:t>）</w:t>
            </w:r>
          </w:p>
        </w:tc>
      </w:tr>
      <w:tr>
        <w:tblPrEx>
          <w:tblCellMar>
            <w:top w:w="0" w:type="dxa"/>
            <w:left w:w="108" w:type="dxa"/>
            <w:bottom w:w="0" w:type="dxa"/>
            <w:right w:w="108" w:type="dxa"/>
          </w:tblCellMar>
        </w:tblPrEx>
        <w:trPr>
          <w:trHeight w:val="506"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4"/>
                <w:rFonts w:hint="default"/>
                <w:color w:val="auto"/>
                <w:highlight w:val="none"/>
                <w:lang w:bidi="ar"/>
              </w:rPr>
              <w:t>合计</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auto"/>
                <w:sz w:val="24"/>
                <w:highlight w:val="none"/>
              </w:rPr>
            </w:pPr>
          </w:p>
        </w:tc>
      </w:tr>
    </w:tbl>
    <w:p>
      <w:pPr>
        <w:ind w:firstLine="2800" w:firstLineChars="1000"/>
        <w:jc w:val="both"/>
        <w:rPr>
          <w:rFonts w:ascii="宋体" w:hAnsi="宋体"/>
          <w:color w:val="auto"/>
          <w:szCs w:val="28"/>
          <w:highlight w:val="none"/>
        </w:rPr>
      </w:pPr>
      <w:r>
        <w:rPr>
          <w:rFonts w:hint="eastAsia" w:ascii="宋体" w:hAnsi="宋体"/>
          <w:color w:val="auto"/>
          <w:szCs w:val="28"/>
          <w:highlight w:val="none"/>
        </w:rPr>
        <w:t>投标人：（盖章）</w:t>
      </w:r>
    </w:p>
    <w:p>
      <w:pPr>
        <w:jc w:val="center"/>
        <w:rPr>
          <w:rFonts w:ascii="宋体" w:hAnsi="宋体"/>
          <w:color w:val="auto"/>
          <w:szCs w:val="28"/>
          <w:highlight w:val="none"/>
        </w:rPr>
      </w:pPr>
      <w:r>
        <w:rPr>
          <w:rFonts w:hint="eastAsia" w:ascii="宋体" w:hAnsi="宋体"/>
          <w:color w:val="auto"/>
          <w:szCs w:val="28"/>
          <w:highlight w:val="none"/>
        </w:rPr>
        <w:t xml:space="preserve">            法定代表人（或其委托的代理人）：</w:t>
      </w:r>
    </w:p>
    <w:p>
      <w:pPr>
        <w:ind w:firstLine="2800" w:firstLineChars="1000"/>
        <w:rPr>
          <w:rFonts w:ascii="宋体" w:hAnsi="宋体"/>
          <w:color w:val="auto"/>
          <w:szCs w:val="28"/>
          <w:highlight w:val="none"/>
        </w:rPr>
      </w:pPr>
      <w:r>
        <w:rPr>
          <w:rFonts w:hint="eastAsia" w:ascii="宋体" w:hAnsi="宋体"/>
          <w:color w:val="auto"/>
          <w:szCs w:val="28"/>
          <w:highlight w:val="none"/>
        </w:rPr>
        <w:t>联系人：</w:t>
      </w:r>
    </w:p>
    <w:p>
      <w:pPr>
        <w:ind w:firstLine="2800" w:firstLineChars="1000"/>
        <w:rPr>
          <w:rFonts w:ascii="宋体" w:hAnsi="宋体"/>
          <w:color w:val="auto"/>
          <w:szCs w:val="28"/>
          <w:highlight w:val="none"/>
        </w:rPr>
      </w:pPr>
      <w:r>
        <w:rPr>
          <w:rFonts w:hint="eastAsia" w:ascii="宋体" w:hAnsi="宋体"/>
          <w:color w:val="auto"/>
          <w:szCs w:val="28"/>
          <w:highlight w:val="none"/>
        </w:rPr>
        <w:t>电话：</w:t>
      </w:r>
    </w:p>
    <w:p>
      <w:pPr>
        <w:ind w:firstLine="2800" w:firstLineChars="1000"/>
        <w:rPr>
          <w:rFonts w:ascii="宋体" w:hAnsi="宋体"/>
          <w:color w:val="auto"/>
          <w:szCs w:val="28"/>
          <w:highlight w:val="none"/>
        </w:rPr>
      </w:pPr>
      <w:r>
        <w:rPr>
          <w:rFonts w:hint="eastAsia" w:ascii="宋体" w:hAnsi="宋体"/>
          <w:color w:val="auto"/>
          <w:szCs w:val="28"/>
          <w:highlight w:val="none"/>
        </w:rPr>
        <w:t>传真：</w:t>
      </w:r>
    </w:p>
    <w:p>
      <w:pPr>
        <w:ind w:firstLine="2800" w:firstLineChars="1000"/>
        <w:rPr>
          <w:color w:val="auto"/>
          <w:highlight w:val="none"/>
        </w:rPr>
      </w:pPr>
      <w:r>
        <w:rPr>
          <w:rFonts w:hint="eastAsia" w:ascii="宋体" w:hAnsi="宋体"/>
          <w:color w:val="auto"/>
          <w:szCs w:val="28"/>
          <w:highlight w:val="none"/>
        </w:rPr>
        <w:t>日期：    年  月  日</w:t>
      </w:r>
    </w:p>
    <w:p>
      <w:pPr>
        <w:spacing w:line="360" w:lineRule="exact"/>
        <w:rPr>
          <w:rFonts w:ascii="宋体" w:hAnsi="宋体"/>
          <w:color w:val="auto"/>
          <w:szCs w:val="28"/>
          <w:highlight w:val="none"/>
        </w:rPr>
      </w:pPr>
    </w:p>
    <w:p>
      <w:pPr>
        <w:spacing w:line="360" w:lineRule="exact"/>
        <w:rPr>
          <w:rFonts w:ascii="宋体" w:hAnsi="宋体"/>
          <w:b/>
          <w:color w:val="auto"/>
          <w:sz w:val="36"/>
          <w:szCs w:val="36"/>
          <w:highlight w:val="none"/>
        </w:rPr>
      </w:pPr>
      <w:r>
        <w:rPr>
          <w:rFonts w:hint="eastAsia" w:ascii="宋体" w:hAnsi="宋体"/>
          <w:color w:val="auto"/>
          <w:szCs w:val="28"/>
          <w:highlight w:val="none"/>
        </w:rPr>
        <w:t>附件二</w:t>
      </w:r>
    </w:p>
    <w:p>
      <w:pPr>
        <w:jc w:val="center"/>
        <w:rPr>
          <w:rFonts w:ascii="宋体" w:hAnsi="宋体"/>
          <w:b/>
          <w:color w:val="auto"/>
          <w:sz w:val="36"/>
          <w:szCs w:val="36"/>
          <w:highlight w:val="none"/>
        </w:rPr>
      </w:pPr>
      <w:r>
        <w:rPr>
          <w:rFonts w:hint="eastAsia" w:ascii="宋体" w:hAnsi="宋体"/>
          <w:b/>
          <w:color w:val="auto"/>
          <w:sz w:val="36"/>
          <w:szCs w:val="36"/>
          <w:highlight w:val="none"/>
        </w:rPr>
        <w:t>竞争性谈判报价表</w:t>
      </w:r>
    </w:p>
    <w:p>
      <w:pPr>
        <w:jc w:val="center"/>
        <w:rPr>
          <w:rFonts w:ascii="宋体" w:hAnsi="宋体"/>
          <w:b/>
          <w:color w:val="auto"/>
          <w:sz w:val="36"/>
          <w:szCs w:val="36"/>
          <w:highlight w:val="none"/>
        </w:rPr>
      </w:pPr>
      <w:r>
        <w:rPr>
          <w:rFonts w:hint="eastAsia" w:ascii="宋体" w:hAnsi="宋体"/>
          <w:b/>
          <w:color w:val="auto"/>
          <w:sz w:val="36"/>
          <w:szCs w:val="36"/>
          <w:highlight w:val="none"/>
        </w:rPr>
        <w:t>（第二次报价）</w:t>
      </w:r>
    </w:p>
    <w:p>
      <w:pPr>
        <w:jc w:val="center"/>
        <w:rPr>
          <w:rFonts w:ascii="宋体" w:hAnsi="宋体"/>
          <w:b/>
          <w:color w:val="auto"/>
          <w:sz w:val="36"/>
          <w:szCs w:val="36"/>
          <w:highlight w:val="none"/>
        </w:rPr>
      </w:pPr>
      <w:r>
        <w:rPr>
          <w:rFonts w:hint="eastAsia" w:ascii="宋体" w:hAnsi="宋体"/>
          <w:b/>
          <w:color w:val="auto"/>
          <w:sz w:val="36"/>
          <w:szCs w:val="36"/>
          <w:highlight w:val="none"/>
        </w:rPr>
        <w:t>工程量清单</w:t>
      </w:r>
    </w:p>
    <w:tbl>
      <w:tblPr>
        <w:tblStyle w:val="11"/>
        <w:tblW w:w="0" w:type="auto"/>
        <w:tblInd w:w="98" w:type="dxa"/>
        <w:tblLayout w:type="fixed"/>
        <w:tblCellMar>
          <w:top w:w="0" w:type="dxa"/>
          <w:left w:w="108" w:type="dxa"/>
          <w:bottom w:w="0" w:type="dxa"/>
          <w:right w:w="108" w:type="dxa"/>
        </w:tblCellMar>
      </w:tblPr>
      <w:tblGrid>
        <w:gridCol w:w="752"/>
        <w:gridCol w:w="423"/>
        <w:gridCol w:w="1354"/>
        <w:gridCol w:w="654"/>
        <w:gridCol w:w="654"/>
        <w:gridCol w:w="997"/>
        <w:gridCol w:w="1495"/>
        <w:gridCol w:w="1975"/>
      </w:tblGrid>
      <w:tr>
        <w:tblPrEx>
          <w:tblCellMar>
            <w:top w:w="0" w:type="dxa"/>
            <w:left w:w="108" w:type="dxa"/>
            <w:bottom w:w="0" w:type="dxa"/>
            <w:right w:w="108" w:type="dxa"/>
          </w:tblCellMar>
        </w:tblPrEx>
        <w:trPr>
          <w:trHeight w:val="360" w:hRule="atLeast"/>
        </w:trPr>
        <w:tc>
          <w:tcPr>
            <w:tcW w:w="117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序号</w:t>
            </w:r>
          </w:p>
        </w:tc>
        <w:tc>
          <w:tcPr>
            <w:tcW w:w="13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检测项目</w:t>
            </w:r>
          </w:p>
        </w:tc>
        <w:tc>
          <w:tcPr>
            <w:tcW w:w="6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单位</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检测</w:t>
            </w:r>
          </w:p>
        </w:tc>
        <w:tc>
          <w:tcPr>
            <w:tcW w:w="9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单价（元）</w:t>
            </w:r>
          </w:p>
        </w:tc>
        <w:tc>
          <w:tcPr>
            <w:tcW w:w="14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合计（元）</w:t>
            </w: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2"/>
                <w:rFonts w:hint="default"/>
                <w:b/>
                <w:bCs/>
                <w:color w:val="auto"/>
                <w:highlight w:val="none"/>
                <w:lang w:bidi="ar"/>
              </w:rPr>
              <w:t>备注</w:t>
            </w:r>
          </w:p>
        </w:tc>
      </w:tr>
      <w:tr>
        <w:tblPrEx>
          <w:tblCellMar>
            <w:top w:w="0" w:type="dxa"/>
            <w:left w:w="108" w:type="dxa"/>
            <w:bottom w:w="0" w:type="dxa"/>
            <w:right w:w="108" w:type="dxa"/>
          </w:tblCellMar>
        </w:tblPrEx>
        <w:trPr>
          <w:trHeight w:val="496" w:hRule="atLeast"/>
        </w:trPr>
        <w:tc>
          <w:tcPr>
            <w:tcW w:w="117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3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6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数量</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330" w:hRule="atLeast"/>
        </w:trPr>
        <w:tc>
          <w:tcPr>
            <w:tcW w:w="7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3"/>
                <w:rFonts w:hint="default"/>
                <w:color w:val="auto"/>
                <w:highlight w:val="none"/>
                <w:lang w:bidi="ar"/>
              </w:rPr>
              <w:t>德昌县南环线建设工程（东段）安宁河特大桥</w:t>
            </w: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一、桥梁检测工作直接费用</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28"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1</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混凝土强度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测区</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212"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2</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钢筋间距</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16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3</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5"/>
                <w:rFonts w:hint="default"/>
                <w:color w:val="auto"/>
                <w:highlight w:val="none"/>
                <w:lang w:bidi="ar"/>
              </w:rPr>
              <w:t>保护层厚度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610</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181"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4</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竖直度</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方向</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48</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371"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5</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结构尺寸</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709</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529"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bidi="ar"/>
              </w:rPr>
              <w:t>6</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22"/>
                <w:rFonts w:hint="default"/>
                <w:color w:val="auto"/>
                <w:highlight w:val="none"/>
                <w:lang w:bidi="ar"/>
              </w:rPr>
            </w:pPr>
            <w:r>
              <w:rPr>
                <w:rStyle w:val="22"/>
                <w:color w:val="auto"/>
                <w:highlight w:val="none"/>
                <w:lang w:bidi="ar"/>
              </w:rPr>
              <w:t>其他项目</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22"/>
                <w:rFonts w:hint="default"/>
                <w:color w:val="auto"/>
                <w:highlight w:val="none"/>
                <w:lang w:bidi="ar"/>
              </w:rPr>
            </w:pP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kern w:val="0"/>
                <w:sz w:val="21"/>
                <w:szCs w:val="21"/>
                <w:highlight w:val="none"/>
                <w:lang w:bidi="ar"/>
              </w:rPr>
            </w:pP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由谈判申请人根据相关标准、规范要求对需要进行的结构、实体检测项目进行补充</w:t>
            </w:r>
          </w:p>
        </w:tc>
      </w:tr>
      <w:tr>
        <w:tblPrEx>
          <w:tblCellMar>
            <w:top w:w="0" w:type="dxa"/>
            <w:left w:w="108" w:type="dxa"/>
            <w:bottom w:w="0" w:type="dxa"/>
            <w:right w:w="108" w:type="dxa"/>
          </w:tblCellMar>
        </w:tblPrEx>
        <w:trPr>
          <w:trHeight w:val="33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二、其它费用</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1541"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bidi="ar"/>
              </w:rPr>
              <w:t>1</w:t>
            </w:r>
          </w:p>
        </w:tc>
        <w:tc>
          <w:tcPr>
            <w:tcW w:w="13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color w:val="auto"/>
                <w:highlight w:val="none"/>
                <w:lang w:bidi="ar"/>
              </w:rPr>
              <w:t>其他费用</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color w:val="auto"/>
                <w:highlight w:val="none"/>
                <w:lang w:bidi="ar"/>
              </w:rPr>
              <w:t>项</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bidi="ar"/>
              </w:rPr>
              <w:t>1</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包含食宿费、车辆使用费、登高车、现场检测措施及其他所有费用</w:t>
            </w:r>
          </w:p>
        </w:tc>
      </w:tr>
      <w:tr>
        <w:tblPrEx>
          <w:tblCellMar>
            <w:top w:w="0" w:type="dxa"/>
            <w:left w:w="108" w:type="dxa"/>
            <w:bottom w:w="0" w:type="dxa"/>
            <w:right w:w="108" w:type="dxa"/>
          </w:tblCellMar>
        </w:tblPrEx>
        <w:trPr>
          <w:trHeight w:val="570"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b/>
                <w:bCs/>
                <w:color w:val="auto"/>
                <w:sz w:val="21"/>
                <w:szCs w:val="21"/>
                <w:highlight w:val="none"/>
              </w:rPr>
            </w:pPr>
            <w:r>
              <w:rPr>
                <w:rStyle w:val="24"/>
                <w:rFonts w:hint="default"/>
                <w:color w:val="auto"/>
                <w:highlight w:val="none"/>
                <w:lang w:bidi="ar"/>
              </w:rPr>
              <w:t>三、税金</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1"/>
                <w:szCs w:val="21"/>
                <w:highlight w:val="none"/>
              </w:rPr>
            </w:pPr>
            <w:r>
              <w:rPr>
                <w:rStyle w:val="22"/>
                <w:rFonts w:hint="default"/>
                <w:color w:val="auto"/>
                <w:highlight w:val="none"/>
                <w:lang w:bidi="ar"/>
              </w:rPr>
              <w:t>税金</w:t>
            </w:r>
            <w:r>
              <w:rPr>
                <w:rStyle w:val="22"/>
                <w:color w:val="auto"/>
                <w:highlight w:val="none"/>
                <w:lang w:bidi="ar"/>
              </w:rPr>
              <w:t>（</w:t>
            </w:r>
            <w:r>
              <w:rPr>
                <w:rStyle w:val="27"/>
                <w:color w:val="auto"/>
                <w:highlight w:val="none"/>
                <w:lang w:bidi="ar"/>
              </w:rPr>
              <w:t>6%</w:t>
            </w:r>
            <w:r>
              <w:rPr>
                <w:rStyle w:val="27"/>
                <w:rFonts w:hint="eastAsia"/>
                <w:color w:val="auto"/>
                <w:highlight w:val="none"/>
                <w:lang w:bidi="ar"/>
              </w:rPr>
              <w:t>）</w:t>
            </w:r>
          </w:p>
        </w:tc>
      </w:tr>
      <w:tr>
        <w:tblPrEx>
          <w:tblCellMar>
            <w:top w:w="0" w:type="dxa"/>
            <w:left w:w="108" w:type="dxa"/>
            <w:bottom w:w="0" w:type="dxa"/>
            <w:right w:w="108" w:type="dxa"/>
          </w:tblCellMar>
        </w:tblPrEx>
        <w:trPr>
          <w:trHeight w:val="506"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p>
        </w:tc>
        <w:tc>
          <w:tcPr>
            <w:tcW w:w="40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Style w:val="24"/>
                <w:rFonts w:hint="default"/>
                <w:color w:val="auto"/>
                <w:highlight w:val="none"/>
                <w:lang w:bidi="ar"/>
              </w:rPr>
              <w:t>合计</w:t>
            </w:r>
          </w:p>
        </w:tc>
        <w:tc>
          <w:tcPr>
            <w:tcW w:w="14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p>
        </w:tc>
        <w:tc>
          <w:tcPr>
            <w:tcW w:w="1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auto"/>
                <w:sz w:val="24"/>
                <w:highlight w:val="none"/>
              </w:rPr>
            </w:pPr>
          </w:p>
        </w:tc>
      </w:tr>
    </w:tbl>
    <w:p>
      <w:pPr>
        <w:ind w:firstLine="2800" w:firstLineChars="1000"/>
        <w:jc w:val="both"/>
        <w:rPr>
          <w:rFonts w:ascii="宋体" w:hAnsi="宋体"/>
          <w:color w:val="auto"/>
          <w:szCs w:val="28"/>
          <w:highlight w:val="none"/>
        </w:rPr>
      </w:pPr>
      <w:r>
        <w:rPr>
          <w:rFonts w:hint="eastAsia" w:ascii="宋体" w:hAnsi="宋体"/>
          <w:color w:val="auto"/>
          <w:szCs w:val="28"/>
          <w:highlight w:val="none"/>
        </w:rPr>
        <w:t>投标人：（盖章）</w:t>
      </w:r>
    </w:p>
    <w:p>
      <w:pPr>
        <w:jc w:val="center"/>
        <w:rPr>
          <w:rFonts w:ascii="宋体" w:hAnsi="宋体"/>
          <w:color w:val="auto"/>
          <w:szCs w:val="28"/>
          <w:highlight w:val="none"/>
        </w:rPr>
      </w:pPr>
      <w:r>
        <w:rPr>
          <w:rFonts w:hint="eastAsia" w:ascii="宋体" w:hAnsi="宋体"/>
          <w:color w:val="auto"/>
          <w:szCs w:val="28"/>
          <w:highlight w:val="none"/>
        </w:rPr>
        <w:t xml:space="preserve">            法定代表人（或其委托的代理人）：</w:t>
      </w:r>
    </w:p>
    <w:p>
      <w:pPr>
        <w:ind w:firstLine="2800" w:firstLineChars="1000"/>
        <w:rPr>
          <w:rFonts w:ascii="宋体" w:hAnsi="宋体"/>
          <w:color w:val="auto"/>
          <w:szCs w:val="28"/>
          <w:highlight w:val="none"/>
        </w:rPr>
      </w:pPr>
      <w:r>
        <w:rPr>
          <w:rFonts w:hint="eastAsia" w:ascii="宋体" w:hAnsi="宋体"/>
          <w:color w:val="auto"/>
          <w:szCs w:val="28"/>
          <w:highlight w:val="none"/>
        </w:rPr>
        <w:t>联系人：</w:t>
      </w:r>
    </w:p>
    <w:p>
      <w:pPr>
        <w:ind w:firstLine="2800" w:firstLineChars="1000"/>
        <w:rPr>
          <w:rFonts w:ascii="宋体" w:hAnsi="宋体"/>
          <w:color w:val="auto"/>
          <w:szCs w:val="28"/>
          <w:highlight w:val="none"/>
        </w:rPr>
      </w:pPr>
      <w:r>
        <w:rPr>
          <w:rFonts w:hint="eastAsia" w:ascii="宋体" w:hAnsi="宋体"/>
          <w:color w:val="auto"/>
          <w:szCs w:val="28"/>
          <w:highlight w:val="none"/>
        </w:rPr>
        <w:t>电话：</w:t>
      </w:r>
    </w:p>
    <w:p>
      <w:pPr>
        <w:ind w:firstLine="2800" w:firstLineChars="1000"/>
        <w:rPr>
          <w:rFonts w:ascii="宋体" w:hAnsi="宋体"/>
          <w:color w:val="auto"/>
          <w:szCs w:val="28"/>
          <w:highlight w:val="none"/>
        </w:rPr>
      </w:pPr>
      <w:r>
        <w:rPr>
          <w:rFonts w:hint="eastAsia" w:ascii="宋体" w:hAnsi="宋体"/>
          <w:color w:val="auto"/>
          <w:szCs w:val="28"/>
          <w:highlight w:val="none"/>
        </w:rPr>
        <w:t>传真：</w:t>
      </w:r>
    </w:p>
    <w:p>
      <w:pPr>
        <w:ind w:firstLine="2800" w:firstLineChars="1000"/>
        <w:rPr>
          <w:rFonts w:hint="eastAsia" w:eastAsia="宋体"/>
          <w:color w:val="auto"/>
          <w:highlight w:val="none"/>
          <w:lang w:val="en-US" w:eastAsia="zh-CN"/>
        </w:rPr>
      </w:pPr>
      <w:r>
        <w:rPr>
          <w:rFonts w:hint="eastAsia" w:ascii="宋体" w:hAnsi="宋体"/>
          <w:color w:val="auto"/>
          <w:szCs w:val="28"/>
          <w:highlight w:val="none"/>
        </w:rPr>
        <w:t xml:space="preserve">日期：    年  月  </w:t>
      </w:r>
      <w:r>
        <w:rPr>
          <w:rFonts w:hint="eastAsia" w:ascii="宋体" w:hAnsi="宋体"/>
          <w:color w:val="auto"/>
          <w:szCs w:val="28"/>
          <w:highlight w:val="none"/>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17</w:t>
    </w:r>
    <w:r>
      <w:rPr>
        <w:szCs w:val="21"/>
      </w:rPr>
      <w:fldChar w:fldCharType="end"/>
    </w:r>
    <w:r>
      <w:rPr>
        <w:rFonts w:hint="eastAsia"/>
        <w:szCs w:val="21"/>
      </w:rPr>
      <w:t xml:space="preserve"> 页 共 </w:t>
    </w:r>
    <w:r>
      <w:rPr>
        <w:rFonts w:hint="eastAsia"/>
        <w:szCs w:val="21"/>
        <w:lang w:val="en-US" w:eastAsia="zh-CN"/>
      </w:rPr>
      <w:t>19</w:t>
    </w:r>
    <w:r>
      <w:rPr>
        <w:rFonts w:hint="eastAsia"/>
        <w:szCs w:val="21"/>
      </w:rPr>
      <w:t>页</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0663"/>
    <w:multiLevelType w:val="singleLevel"/>
    <w:tmpl w:val="C1810663"/>
    <w:lvl w:ilvl="0" w:tentative="0">
      <w:start w:val="2"/>
      <w:numFmt w:val="decimal"/>
      <w:suff w:val="nothing"/>
      <w:lvlText w:val="%1、"/>
      <w:lvlJc w:val="left"/>
    </w:lvl>
  </w:abstractNum>
  <w:abstractNum w:abstractNumId="1">
    <w:nsid w:val="3B4F8D83"/>
    <w:multiLevelType w:val="singleLevel"/>
    <w:tmpl w:val="3B4F8D8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GRkNDA4ODgwMmI4OWEwZGU5ZTc5MmQ2NWNjNDEifQ=="/>
    <w:docVar w:name="KSO_WPS_MARK_KEY" w:val="6fe79355-b58f-41cb-bd3b-48623ed249ff"/>
  </w:docVars>
  <w:rsids>
    <w:rsidRoot w:val="31765CDE"/>
    <w:rsid w:val="000256A8"/>
    <w:rsid w:val="000B18B1"/>
    <w:rsid w:val="000B6A45"/>
    <w:rsid w:val="000E6354"/>
    <w:rsid w:val="00104946"/>
    <w:rsid w:val="0014736F"/>
    <w:rsid w:val="001473D9"/>
    <w:rsid w:val="0016378B"/>
    <w:rsid w:val="002E4F5B"/>
    <w:rsid w:val="003368F7"/>
    <w:rsid w:val="00365EA2"/>
    <w:rsid w:val="003E524F"/>
    <w:rsid w:val="00445A65"/>
    <w:rsid w:val="004A7151"/>
    <w:rsid w:val="00511DBF"/>
    <w:rsid w:val="00590423"/>
    <w:rsid w:val="006560A6"/>
    <w:rsid w:val="00703781"/>
    <w:rsid w:val="007323A5"/>
    <w:rsid w:val="007B74C6"/>
    <w:rsid w:val="007E5093"/>
    <w:rsid w:val="0082389B"/>
    <w:rsid w:val="008E78E1"/>
    <w:rsid w:val="0092291F"/>
    <w:rsid w:val="009A6138"/>
    <w:rsid w:val="009E0AF1"/>
    <w:rsid w:val="009F34E4"/>
    <w:rsid w:val="00A65803"/>
    <w:rsid w:val="00A914B7"/>
    <w:rsid w:val="00B72724"/>
    <w:rsid w:val="00B74ED0"/>
    <w:rsid w:val="00BD68DC"/>
    <w:rsid w:val="00C000DB"/>
    <w:rsid w:val="00C10522"/>
    <w:rsid w:val="00C41047"/>
    <w:rsid w:val="00C77505"/>
    <w:rsid w:val="00CB5A10"/>
    <w:rsid w:val="00D13275"/>
    <w:rsid w:val="00E07877"/>
    <w:rsid w:val="00F014A7"/>
    <w:rsid w:val="00F3611D"/>
    <w:rsid w:val="00FD6534"/>
    <w:rsid w:val="010A4945"/>
    <w:rsid w:val="010B18E7"/>
    <w:rsid w:val="010B7C13"/>
    <w:rsid w:val="012A5692"/>
    <w:rsid w:val="012D66CB"/>
    <w:rsid w:val="015E0632"/>
    <w:rsid w:val="016F1F09"/>
    <w:rsid w:val="01981D96"/>
    <w:rsid w:val="01BD616A"/>
    <w:rsid w:val="01E26BF4"/>
    <w:rsid w:val="02187C4C"/>
    <w:rsid w:val="02302E69"/>
    <w:rsid w:val="02571F52"/>
    <w:rsid w:val="026E270A"/>
    <w:rsid w:val="02730AC7"/>
    <w:rsid w:val="02C45698"/>
    <w:rsid w:val="02DB52BD"/>
    <w:rsid w:val="03610C12"/>
    <w:rsid w:val="03861E43"/>
    <w:rsid w:val="03B0401B"/>
    <w:rsid w:val="03BE360A"/>
    <w:rsid w:val="046631AC"/>
    <w:rsid w:val="046A4790"/>
    <w:rsid w:val="049A19D2"/>
    <w:rsid w:val="049B600E"/>
    <w:rsid w:val="04B34B43"/>
    <w:rsid w:val="05022EF4"/>
    <w:rsid w:val="052F7D10"/>
    <w:rsid w:val="05507F0F"/>
    <w:rsid w:val="05917228"/>
    <w:rsid w:val="05E219F1"/>
    <w:rsid w:val="05E961A9"/>
    <w:rsid w:val="060D18FC"/>
    <w:rsid w:val="063A5C43"/>
    <w:rsid w:val="06607DD9"/>
    <w:rsid w:val="068208C9"/>
    <w:rsid w:val="06A71C0B"/>
    <w:rsid w:val="06F3181D"/>
    <w:rsid w:val="07287531"/>
    <w:rsid w:val="073F09B1"/>
    <w:rsid w:val="07A174CB"/>
    <w:rsid w:val="07FE2B6F"/>
    <w:rsid w:val="08326375"/>
    <w:rsid w:val="084545AE"/>
    <w:rsid w:val="089D22BA"/>
    <w:rsid w:val="09D91CEF"/>
    <w:rsid w:val="0AB15C77"/>
    <w:rsid w:val="0AD57BB7"/>
    <w:rsid w:val="0B0367E6"/>
    <w:rsid w:val="0B787D1C"/>
    <w:rsid w:val="0BAA1044"/>
    <w:rsid w:val="0BB868EE"/>
    <w:rsid w:val="0C0168D0"/>
    <w:rsid w:val="0C286ADE"/>
    <w:rsid w:val="0C8B3B2C"/>
    <w:rsid w:val="0C913F15"/>
    <w:rsid w:val="0C965D5D"/>
    <w:rsid w:val="0D295F98"/>
    <w:rsid w:val="0D5F7C0C"/>
    <w:rsid w:val="0DE67129"/>
    <w:rsid w:val="0E4137B5"/>
    <w:rsid w:val="0E472595"/>
    <w:rsid w:val="0F9F722F"/>
    <w:rsid w:val="106C19E8"/>
    <w:rsid w:val="113C7F55"/>
    <w:rsid w:val="113E5440"/>
    <w:rsid w:val="12C863EA"/>
    <w:rsid w:val="12EC4418"/>
    <w:rsid w:val="130D010A"/>
    <w:rsid w:val="131821D8"/>
    <w:rsid w:val="1326001B"/>
    <w:rsid w:val="134428A9"/>
    <w:rsid w:val="13C42478"/>
    <w:rsid w:val="13DB7AF4"/>
    <w:rsid w:val="13F21748"/>
    <w:rsid w:val="14371261"/>
    <w:rsid w:val="144C103D"/>
    <w:rsid w:val="14A625C4"/>
    <w:rsid w:val="15065D8D"/>
    <w:rsid w:val="15115DD4"/>
    <w:rsid w:val="153D35D1"/>
    <w:rsid w:val="15D241DC"/>
    <w:rsid w:val="15F06EA6"/>
    <w:rsid w:val="15FE6D20"/>
    <w:rsid w:val="1696119B"/>
    <w:rsid w:val="17373A4B"/>
    <w:rsid w:val="1737763B"/>
    <w:rsid w:val="17830659"/>
    <w:rsid w:val="17961937"/>
    <w:rsid w:val="17B92DE4"/>
    <w:rsid w:val="185E4815"/>
    <w:rsid w:val="18884C1A"/>
    <w:rsid w:val="191242AE"/>
    <w:rsid w:val="19D5412F"/>
    <w:rsid w:val="19DB757A"/>
    <w:rsid w:val="19EF621A"/>
    <w:rsid w:val="1B3D477A"/>
    <w:rsid w:val="1B4B17D0"/>
    <w:rsid w:val="1B8151F1"/>
    <w:rsid w:val="1B99231C"/>
    <w:rsid w:val="1BD25A4D"/>
    <w:rsid w:val="1BE96AFB"/>
    <w:rsid w:val="1C2B0D7C"/>
    <w:rsid w:val="1C3F69E4"/>
    <w:rsid w:val="1C496F67"/>
    <w:rsid w:val="1C984EE8"/>
    <w:rsid w:val="1C98646C"/>
    <w:rsid w:val="1CFF6449"/>
    <w:rsid w:val="1D3D28BE"/>
    <w:rsid w:val="1D436C02"/>
    <w:rsid w:val="1DD427B4"/>
    <w:rsid w:val="1DF1287D"/>
    <w:rsid w:val="1E0C3728"/>
    <w:rsid w:val="1E6C4DFA"/>
    <w:rsid w:val="1E9458DE"/>
    <w:rsid w:val="1F2C50CA"/>
    <w:rsid w:val="1F5032B4"/>
    <w:rsid w:val="1FA97D98"/>
    <w:rsid w:val="1FCF2BEA"/>
    <w:rsid w:val="20384A18"/>
    <w:rsid w:val="20832A86"/>
    <w:rsid w:val="208D5CAB"/>
    <w:rsid w:val="20FD17BE"/>
    <w:rsid w:val="213C3B69"/>
    <w:rsid w:val="214426E4"/>
    <w:rsid w:val="214857B9"/>
    <w:rsid w:val="21920949"/>
    <w:rsid w:val="21B84562"/>
    <w:rsid w:val="21D27CB9"/>
    <w:rsid w:val="221D4162"/>
    <w:rsid w:val="22264B96"/>
    <w:rsid w:val="22C203C0"/>
    <w:rsid w:val="22DD7AF1"/>
    <w:rsid w:val="230E380E"/>
    <w:rsid w:val="23221D24"/>
    <w:rsid w:val="23552AFD"/>
    <w:rsid w:val="23FF2AA1"/>
    <w:rsid w:val="24B20E66"/>
    <w:rsid w:val="24BB25D0"/>
    <w:rsid w:val="24EE1B49"/>
    <w:rsid w:val="252D66FD"/>
    <w:rsid w:val="25540030"/>
    <w:rsid w:val="258129BE"/>
    <w:rsid w:val="25D36F91"/>
    <w:rsid w:val="264A3886"/>
    <w:rsid w:val="264B1A62"/>
    <w:rsid w:val="2674594E"/>
    <w:rsid w:val="26C6392A"/>
    <w:rsid w:val="26DF6A52"/>
    <w:rsid w:val="2734580E"/>
    <w:rsid w:val="277125BE"/>
    <w:rsid w:val="27A110CA"/>
    <w:rsid w:val="27C70430"/>
    <w:rsid w:val="280F57E8"/>
    <w:rsid w:val="28F22C3A"/>
    <w:rsid w:val="292375FC"/>
    <w:rsid w:val="294611C8"/>
    <w:rsid w:val="29D25C3C"/>
    <w:rsid w:val="29D874B4"/>
    <w:rsid w:val="29EB0C54"/>
    <w:rsid w:val="2A467D32"/>
    <w:rsid w:val="2B9920E3"/>
    <w:rsid w:val="2BD16CBC"/>
    <w:rsid w:val="2C4C1E9C"/>
    <w:rsid w:val="2C55425C"/>
    <w:rsid w:val="2C606A23"/>
    <w:rsid w:val="2C61545C"/>
    <w:rsid w:val="2C784B05"/>
    <w:rsid w:val="2CAC29D6"/>
    <w:rsid w:val="2D231E36"/>
    <w:rsid w:val="2D490C26"/>
    <w:rsid w:val="2D6A710D"/>
    <w:rsid w:val="2D6B4CDB"/>
    <w:rsid w:val="2D6E2A94"/>
    <w:rsid w:val="2D9676C0"/>
    <w:rsid w:val="2DBB5DDD"/>
    <w:rsid w:val="2DDB6028"/>
    <w:rsid w:val="2E3B6542"/>
    <w:rsid w:val="2E765CF5"/>
    <w:rsid w:val="2E797ACE"/>
    <w:rsid w:val="2EC40E47"/>
    <w:rsid w:val="2EC90B52"/>
    <w:rsid w:val="2EF43A8A"/>
    <w:rsid w:val="2F6A7B1C"/>
    <w:rsid w:val="2F7B2B74"/>
    <w:rsid w:val="2FBB6ACC"/>
    <w:rsid w:val="3011060A"/>
    <w:rsid w:val="309E19D2"/>
    <w:rsid w:val="316D5522"/>
    <w:rsid w:val="316F4012"/>
    <w:rsid w:val="31765CDE"/>
    <w:rsid w:val="31886EB9"/>
    <w:rsid w:val="31D85FEC"/>
    <w:rsid w:val="32327402"/>
    <w:rsid w:val="32496794"/>
    <w:rsid w:val="32816E64"/>
    <w:rsid w:val="32A33DA6"/>
    <w:rsid w:val="32A76A71"/>
    <w:rsid w:val="332B21BB"/>
    <w:rsid w:val="336575A3"/>
    <w:rsid w:val="343A21BD"/>
    <w:rsid w:val="351322D0"/>
    <w:rsid w:val="355107E0"/>
    <w:rsid w:val="359549F8"/>
    <w:rsid w:val="35F82214"/>
    <w:rsid w:val="363870C8"/>
    <w:rsid w:val="36756265"/>
    <w:rsid w:val="368636C2"/>
    <w:rsid w:val="3695459B"/>
    <w:rsid w:val="36AD2CB7"/>
    <w:rsid w:val="36E0506A"/>
    <w:rsid w:val="36ED2F73"/>
    <w:rsid w:val="37015C82"/>
    <w:rsid w:val="370B2157"/>
    <w:rsid w:val="374E69C8"/>
    <w:rsid w:val="37A246BB"/>
    <w:rsid w:val="37CA0C00"/>
    <w:rsid w:val="38045A76"/>
    <w:rsid w:val="38353872"/>
    <w:rsid w:val="38A72A9C"/>
    <w:rsid w:val="38B3438B"/>
    <w:rsid w:val="39003EB1"/>
    <w:rsid w:val="392456E2"/>
    <w:rsid w:val="39266E53"/>
    <w:rsid w:val="39372672"/>
    <w:rsid w:val="3947616A"/>
    <w:rsid w:val="39514CFD"/>
    <w:rsid w:val="39565AB7"/>
    <w:rsid w:val="396A39D6"/>
    <w:rsid w:val="39A71860"/>
    <w:rsid w:val="39D039D8"/>
    <w:rsid w:val="39D5173F"/>
    <w:rsid w:val="3A5152EA"/>
    <w:rsid w:val="3B0535FE"/>
    <w:rsid w:val="3B551F7C"/>
    <w:rsid w:val="3BC36985"/>
    <w:rsid w:val="3BCA70A6"/>
    <w:rsid w:val="3BE178BA"/>
    <w:rsid w:val="3BF22272"/>
    <w:rsid w:val="3C28482D"/>
    <w:rsid w:val="3C2E0626"/>
    <w:rsid w:val="3C611C19"/>
    <w:rsid w:val="3D0E1CEF"/>
    <w:rsid w:val="3D716BDD"/>
    <w:rsid w:val="3D7B0204"/>
    <w:rsid w:val="3DCC6A70"/>
    <w:rsid w:val="3DFC6C2D"/>
    <w:rsid w:val="3DFD5D41"/>
    <w:rsid w:val="3E190A46"/>
    <w:rsid w:val="3E47055F"/>
    <w:rsid w:val="3EE616A2"/>
    <w:rsid w:val="3F8C59B2"/>
    <w:rsid w:val="3FA87D43"/>
    <w:rsid w:val="3FDC2D53"/>
    <w:rsid w:val="400F6A26"/>
    <w:rsid w:val="408D7F7E"/>
    <w:rsid w:val="409D5214"/>
    <w:rsid w:val="41210759"/>
    <w:rsid w:val="423637F3"/>
    <w:rsid w:val="427A4503"/>
    <w:rsid w:val="42FF70F8"/>
    <w:rsid w:val="43004D9E"/>
    <w:rsid w:val="43167E10"/>
    <w:rsid w:val="43331F6E"/>
    <w:rsid w:val="43367FBD"/>
    <w:rsid w:val="435B1A11"/>
    <w:rsid w:val="43D803A3"/>
    <w:rsid w:val="443D5447"/>
    <w:rsid w:val="44450C02"/>
    <w:rsid w:val="450B0F5E"/>
    <w:rsid w:val="450C6BE5"/>
    <w:rsid w:val="45827980"/>
    <w:rsid w:val="45C50CCD"/>
    <w:rsid w:val="45CA3297"/>
    <w:rsid w:val="45D01961"/>
    <w:rsid w:val="46113830"/>
    <w:rsid w:val="462E521F"/>
    <w:rsid w:val="464449F5"/>
    <w:rsid w:val="464B45D7"/>
    <w:rsid w:val="468E6891"/>
    <w:rsid w:val="46C6676F"/>
    <w:rsid w:val="46F65633"/>
    <w:rsid w:val="476336CA"/>
    <w:rsid w:val="488475F4"/>
    <w:rsid w:val="48A60EA0"/>
    <w:rsid w:val="497E6723"/>
    <w:rsid w:val="49D03506"/>
    <w:rsid w:val="49DC3A37"/>
    <w:rsid w:val="4A176B9D"/>
    <w:rsid w:val="4A6B6264"/>
    <w:rsid w:val="4B2D5A4C"/>
    <w:rsid w:val="4B493ADB"/>
    <w:rsid w:val="4B897155"/>
    <w:rsid w:val="4B99636D"/>
    <w:rsid w:val="4B9E091B"/>
    <w:rsid w:val="4BB351BD"/>
    <w:rsid w:val="4C246D39"/>
    <w:rsid w:val="4C7166F5"/>
    <w:rsid w:val="4CDB65A8"/>
    <w:rsid w:val="4CE341E0"/>
    <w:rsid w:val="4D450E2D"/>
    <w:rsid w:val="4D4579D2"/>
    <w:rsid w:val="4E2B0E69"/>
    <w:rsid w:val="4E3A2A1E"/>
    <w:rsid w:val="4E512BAC"/>
    <w:rsid w:val="4EEA3906"/>
    <w:rsid w:val="4F3B1580"/>
    <w:rsid w:val="4F506B2E"/>
    <w:rsid w:val="4F5C0C20"/>
    <w:rsid w:val="4FB56C3C"/>
    <w:rsid w:val="501341EF"/>
    <w:rsid w:val="51465964"/>
    <w:rsid w:val="51B55619"/>
    <w:rsid w:val="520934A3"/>
    <w:rsid w:val="520B5239"/>
    <w:rsid w:val="52521491"/>
    <w:rsid w:val="528E531E"/>
    <w:rsid w:val="53071EA5"/>
    <w:rsid w:val="53482F11"/>
    <w:rsid w:val="5394300C"/>
    <w:rsid w:val="53D67F73"/>
    <w:rsid w:val="53E2606E"/>
    <w:rsid w:val="53F03344"/>
    <w:rsid w:val="5425031B"/>
    <w:rsid w:val="544206E5"/>
    <w:rsid w:val="54833B97"/>
    <w:rsid w:val="549A7E9F"/>
    <w:rsid w:val="5539794F"/>
    <w:rsid w:val="558C65C3"/>
    <w:rsid w:val="55B45D38"/>
    <w:rsid w:val="55C93441"/>
    <w:rsid w:val="567C2653"/>
    <w:rsid w:val="5697136C"/>
    <w:rsid w:val="56B13B1F"/>
    <w:rsid w:val="56DF5277"/>
    <w:rsid w:val="56F96B3F"/>
    <w:rsid w:val="57377F49"/>
    <w:rsid w:val="57487146"/>
    <w:rsid w:val="57C53081"/>
    <w:rsid w:val="57C70C5B"/>
    <w:rsid w:val="57E81314"/>
    <w:rsid w:val="57FD096B"/>
    <w:rsid w:val="580A25AE"/>
    <w:rsid w:val="58245CA4"/>
    <w:rsid w:val="582D36B9"/>
    <w:rsid w:val="587D0EB9"/>
    <w:rsid w:val="58D773B2"/>
    <w:rsid w:val="590D1897"/>
    <w:rsid w:val="591A4FF5"/>
    <w:rsid w:val="5971107E"/>
    <w:rsid w:val="59757F05"/>
    <w:rsid w:val="59806014"/>
    <w:rsid w:val="59DC7BA6"/>
    <w:rsid w:val="59FF5F31"/>
    <w:rsid w:val="5A22506C"/>
    <w:rsid w:val="5A9115D2"/>
    <w:rsid w:val="5AA74D0E"/>
    <w:rsid w:val="5B1747CF"/>
    <w:rsid w:val="5B420748"/>
    <w:rsid w:val="5BF13D64"/>
    <w:rsid w:val="5C2D2F3C"/>
    <w:rsid w:val="5C987A6F"/>
    <w:rsid w:val="5CA92B4D"/>
    <w:rsid w:val="5CC0462F"/>
    <w:rsid w:val="5CCC08E9"/>
    <w:rsid w:val="5D1276BE"/>
    <w:rsid w:val="5D2825E9"/>
    <w:rsid w:val="5D642CDA"/>
    <w:rsid w:val="5D7214A4"/>
    <w:rsid w:val="5E1C1F35"/>
    <w:rsid w:val="5E455F5D"/>
    <w:rsid w:val="5E4B6C09"/>
    <w:rsid w:val="5E4C36FB"/>
    <w:rsid w:val="5E6F2E7E"/>
    <w:rsid w:val="5E8C287D"/>
    <w:rsid w:val="5EB714BA"/>
    <w:rsid w:val="5EB86DAF"/>
    <w:rsid w:val="5ED11C1E"/>
    <w:rsid w:val="5EE220F0"/>
    <w:rsid w:val="5F076D88"/>
    <w:rsid w:val="5F42509B"/>
    <w:rsid w:val="5F8E5854"/>
    <w:rsid w:val="5FB52C88"/>
    <w:rsid w:val="5FBB641C"/>
    <w:rsid w:val="60382D86"/>
    <w:rsid w:val="60570B09"/>
    <w:rsid w:val="60C47ACF"/>
    <w:rsid w:val="60D34866"/>
    <w:rsid w:val="611932D9"/>
    <w:rsid w:val="61711162"/>
    <w:rsid w:val="61B21B5F"/>
    <w:rsid w:val="61DD7645"/>
    <w:rsid w:val="62136A67"/>
    <w:rsid w:val="623A606B"/>
    <w:rsid w:val="62A84159"/>
    <w:rsid w:val="62B6628B"/>
    <w:rsid w:val="62BC594B"/>
    <w:rsid w:val="62D81AB9"/>
    <w:rsid w:val="63091259"/>
    <w:rsid w:val="632E7652"/>
    <w:rsid w:val="635F7481"/>
    <w:rsid w:val="63EC073C"/>
    <w:rsid w:val="642D26A4"/>
    <w:rsid w:val="643E1B9A"/>
    <w:rsid w:val="648A6492"/>
    <w:rsid w:val="64C80D68"/>
    <w:rsid w:val="64FD6C64"/>
    <w:rsid w:val="650B0753"/>
    <w:rsid w:val="65815AE3"/>
    <w:rsid w:val="65AE7F5D"/>
    <w:rsid w:val="65DC0E29"/>
    <w:rsid w:val="65DD1293"/>
    <w:rsid w:val="660E3C9E"/>
    <w:rsid w:val="66216982"/>
    <w:rsid w:val="664E34EF"/>
    <w:rsid w:val="667557A7"/>
    <w:rsid w:val="66996E60"/>
    <w:rsid w:val="66CD758A"/>
    <w:rsid w:val="67C84ABA"/>
    <w:rsid w:val="67EC408F"/>
    <w:rsid w:val="680B563E"/>
    <w:rsid w:val="69152807"/>
    <w:rsid w:val="69BD0377"/>
    <w:rsid w:val="69EA1560"/>
    <w:rsid w:val="69FB056C"/>
    <w:rsid w:val="6A5E6092"/>
    <w:rsid w:val="6A906F5C"/>
    <w:rsid w:val="6AB10E6E"/>
    <w:rsid w:val="6AD541DF"/>
    <w:rsid w:val="6B797260"/>
    <w:rsid w:val="6B8D383B"/>
    <w:rsid w:val="6BBF25A8"/>
    <w:rsid w:val="6BE06658"/>
    <w:rsid w:val="6C1B53A0"/>
    <w:rsid w:val="6CA55B25"/>
    <w:rsid w:val="6CC369E5"/>
    <w:rsid w:val="6CD36349"/>
    <w:rsid w:val="6D184E29"/>
    <w:rsid w:val="6D2E6F36"/>
    <w:rsid w:val="6D6535F8"/>
    <w:rsid w:val="6DD17D62"/>
    <w:rsid w:val="6E1F67A8"/>
    <w:rsid w:val="6E2C3CAD"/>
    <w:rsid w:val="6E6E2E44"/>
    <w:rsid w:val="6E830758"/>
    <w:rsid w:val="6EE43BCB"/>
    <w:rsid w:val="6EFD73A5"/>
    <w:rsid w:val="6F000329"/>
    <w:rsid w:val="6F2C7EF4"/>
    <w:rsid w:val="6F5E26E0"/>
    <w:rsid w:val="6F903151"/>
    <w:rsid w:val="6FEC519F"/>
    <w:rsid w:val="6FF17CC0"/>
    <w:rsid w:val="70AB3B99"/>
    <w:rsid w:val="70E05E01"/>
    <w:rsid w:val="71504376"/>
    <w:rsid w:val="71922E29"/>
    <w:rsid w:val="719E17CE"/>
    <w:rsid w:val="71F51120"/>
    <w:rsid w:val="72A050D2"/>
    <w:rsid w:val="72DB18FF"/>
    <w:rsid w:val="732E0084"/>
    <w:rsid w:val="7375030D"/>
    <w:rsid w:val="73DF7111"/>
    <w:rsid w:val="741330F1"/>
    <w:rsid w:val="74716F9A"/>
    <w:rsid w:val="74795BDB"/>
    <w:rsid w:val="749018A2"/>
    <w:rsid w:val="74B44D47"/>
    <w:rsid w:val="7506570B"/>
    <w:rsid w:val="7516167C"/>
    <w:rsid w:val="75180EA9"/>
    <w:rsid w:val="759E426D"/>
    <w:rsid w:val="75F07678"/>
    <w:rsid w:val="763B3A90"/>
    <w:rsid w:val="77193CE7"/>
    <w:rsid w:val="7720669E"/>
    <w:rsid w:val="77297D8C"/>
    <w:rsid w:val="77330FFC"/>
    <w:rsid w:val="7735061A"/>
    <w:rsid w:val="77366850"/>
    <w:rsid w:val="77416E84"/>
    <w:rsid w:val="775770B0"/>
    <w:rsid w:val="77F83274"/>
    <w:rsid w:val="787B21CF"/>
    <w:rsid w:val="78AF520D"/>
    <w:rsid w:val="79065C1B"/>
    <w:rsid w:val="79C954E9"/>
    <w:rsid w:val="79E7658E"/>
    <w:rsid w:val="7A85177D"/>
    <w:rsid w:val="7A9D6F19"/>
    <w:rsid w:val="7AF6338B"/>
    <w:rsid w:val="7B353109"/>
    <w:rsid w:val="7B4A39CD"/>
    <w:rsid w:val="7C3D44E4"/>
    <w:rsid w:val="7C8C28EB"/>
    <w:rsid w:val="7C8E2521"/>
    <w:rsid w:val="7C9D3301"/>
    <w:rsid w:val="7D2958DC"/>
    <w:rsid w:val="7D36003F"/>
    <w:rsid w:val="7D4712F5"/>
    <w:rsid w:val="7D502DA7"/>
    <w:rsid w:val="7D761851"/>
    <w:rsid w:val="7DFD6044"/>
    <w:rsid w:val="7E3D70B4"/>
    <w:rsid w:val="7E8C0695"/>
    <w:rsid w:val="7E97161A"/>
    <w:rsid w:val="7EC6610C"/>
    <w:rsid w:val="7ED7363A"/>
    <w:rsid w:val="7EDE3B68"/>
    <w:rsid w:val="7EE4531F"/>
    <w:rsid w:val="7F64564D"/>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8"/>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cs="Times New Roman"/>
      <w:b/>
      <w:bCs/>
      <w:kern w:val="44"/>
      <w:sz w:val="48"/>
      <w:szCs w:val="48"/>
    </w:rPr>
  </w:style>
  <w:style w:type="paragraph" w:styleId="3">
    <w:name w:val="heading 3"/>
    <w:basedOn w:val="1"/>
    <w:next w:val="1"/>
    <w:qFormat/>
    <w:uiPriority w:val="9"/>
    <w:pPr>
      <w:keepNext/>
      <w:keepLines/>
      <w:spacing w:beforeLines="108" w:afterLines="108" w:line="415"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annotation text"/>
    <w:basedOn w:val="1"/>
    <w:link w:val="28"/>
    <w:semiHidden/>
    <w:unhideWhenUsed/>
    <w:qFormat/>
    <w:uiPriority w:val="0"/>
  </w:style>
  <w:style w:type="paragraph" w:styleId="6">
    <w:name w:val="Balloon Text"/>
    <w:basedOn w:val="1"/>
    <w:link w:val="30"/>
    <w:uiPriority w:val="0"/>
    <w:rPr>
      <w:sz w:val="18"/>
      <w:szCs w:val="18"/>
    </w:rPr>
  </w:style>
  <w:style w:type="paragraph" w:styleId="7">
    <w:name w:val="footer"/>
    <w:basedOn w:val="1"/>
    <w:link w:val="20"/>
    <w:qFormat/>
    <w:uiPriority w:val="0"/>
    <w:pPr>
      <w:tabs>
        <w:tab w:val="center" w:pos="4153"/>
        <w:tab w:val="right" w:pos="8306"/>
      </w:tabs>
      <w:snapToGrid w:val="0"/>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kern w:val="0"/>
      <w:sz w:val="24"/>
    </w:rPr>
  </w:style>
  <w:style w:type="paragraph" w:styleId="10">
    <w:name w:val="annotation subject"/>
    <w:basedOn w:val="5"/>
    <w:next w:val="5"/>
    <w:link w:val="29"/>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0"/>
    <w:rPr>
      <w:sz w:val="21"/>
      <w:szCs w:val="21"/>
    </w:rPr>
  </w:style>
  <w:style w:type="paragraph" w:customStyle="1" w:styleId="15">
    <w:name w:val="reader-word-layer reader-word-s3-14"/>
    <w:basedOn w:val="1"/>
    <w:qFormat/>
    <w:uiPriority w:val="0"/>
    <w:pPr>
      <w:widowControl/>
      <w:spacing w:before="100" w:beforeAutospacing="1" w:after="100" w:afterAutospacing="1"/>
    </w:pPr>
    <w:rPr>
      <w:rFonts w:ascii="宋体" w:hAnsi="宋体" w:cs="宋体"/>
      <w:kern w:val="0"/>
      <w:sz w:val="24"/>
    </w:rPr>
  </w:style>
  <w:style w:type="paragraph" w:customStyle="1" w:styleId="16">
    <w:name w:val="reader-word-layer reader-word-s3-10"/>
    <w:basedOn w:val="1"/>
    <w:qFormat/>
    <w:uiPriority w:val="0"/>
    <w:pPr>
      <w:widowControl/>
      <w:spacing w:before="100" w:beforeAutospacing="1" w:after="100" w:afterAutospacing="1"/>
    </w:pPr>
    <w:rPr>
      <w:rFonts w:ascii="宋体" w:hAnsi="宋体" w:cs="宋体"/>
      <w:kern w:val="0"/>
      <w:sz w:val="24"/>
    </w:rPr>
  </w:style>
  <w:style w:type="paragraph" w:customStyle="1" w:styleId="17">
    <w:name w:val="reader-word-layer reader-word-s3-9"/>
    <w:basedOn w:val="1"/>
    <w:qFormat/>
    <w:uiPriority w:val="0"/>
    <w:pPr>
      <w:widowControl/>
      <w:spacing w:before="100" w:beforeAutospacing="1" w:after="100" w:afterAutospacing="1"/>
    </w:pPr>
    <w:rPr>
      <w:rFonts w:ascii="宋体" w:hAnsi="宋体" w:cs="宋体"/>
      <w:kern w:val="0"/>
      <w:sz w:val="24"/>
    </w:rPr>
  </w:style>
  <w:style w:type="paragraph" w:styleId="18">
    <w:name w:val="List Paragraph"/>
    <w:basedOn w:val="1"/>
    <w:qFormat/>
    <w:uiPriority w:val="99"/>
    <w:pPr>
      <w:ind w:firstLine="420" w:firstLineChars="200"/>
    </w:pPr>
  </w:style>
  <w:style w:type="character" w:customStyle="1" w:styleId="19">
    <w:name w:val="页眉 字符"/>
    <w:basedOn w:val="13"/>
    <w:link w:val="8"/>
    <w:qFormat/>
    <w:uiPriority w:val="0"/>
    <w:rPr>
      <w:rFonts w:eastAsia="宋体"/>
      <w:kern w:val="2"/>
      <w:sz w:val="18"/>
      <w:szCs w:val="18"/>
    </w:rPr>
  </w:style>
  <w:style w:type="character" w:customStyle="1" w:styleId="20">
    <w:name w:val="页脚 字符"/>
    <w:basedOn w:val="13"/>
    <w:link w:val="7"/>
    <w:qFormat/>
    <w:uiPriority w:val="0"/>
    <w:rPr>
      <w:rFonts w:eastAsia="宋体"/>
      <w:kern w:val="2"/>
      <w:sz w:val="18"/>
      <w:szCs w:val="18"/>
    </w:rPr>
  </w:style>
  <w:style w:type="paragraph" w:customStyle="1" w:styleId="21">
    <w:name w:val="正文首行缩进两字符"/>
    <w:basedOn w:val="1"/>
    <w:qFormat/>
    <w:uiPriority w:val="0"/>
    <w:pPr>
      <w:spacing w:line="360" w:lineRule="auto"/>
      <w:ind w:firstLine="200" w:firstLineChars="200"/>
    </w:pPr>
    <w:rPr>
      <w:rFonts w:ascii="Times New Roman" w:hAnsi="Times New Roman" w:cs="Times New Roman"/>
    </w:rPr>
  </w:style>
  <w:style w:type="character" w:customStyle="1" w:styleId="22">
    <w:name w:val="font11"/>
    <w:basedOn w:val="13"/>
    <w:qFormat/>
    <w:uiPriority w:val="0"/>
    <w:rPr>
      <w:rFonts w:hint="eastAsia" w:ascii="宋体" w:hAnsi="宋体" w:eastAsia="宋体" w:cs="宋体"/>
      <w:color w:val="000000"/>
      <w:sz w:val="21"/>
      <w:szCs w:val="21"/>
      <w:u w:val="none"/>
    </w:rPr>
  </w:style>
  <w:style w:type="character" w:customStyle="1" w:styleId="23">
    <w:name w:val="font21"/>
    <w:basedOn w:val="13"/>
    <w:qFormat/>
    <w:uiPriority w:val="0"/>
    <w:rPr>
      <w:rFonts w:hint="eastAsia" w:ascii="宋体" w:hAnsi="宋体" w:eastAsia="宋体" w:cs="宋体"/>
      <w:b/>
      <w:bCs/>
      <w:color w:val="000000"/>
      <w:sz w:val="21"/>
      <w:szCs w:val="21"/>
      <w:u w:val="none"/>
    </w:rPr>
  </w:style>
  <w:style w:type="character" w:customStyle="1" w:styleId="24">
    <w:name w:val="font31"/>
    <w:basedOn w:val="13"/>
    <w:qFormat/>
    <w:uiPriority w:val="0"/>
    <w:rPr>
      <w:rFonts w:hint="eastAsia" w:ascii="宋体" w:hAnsi="宋体" w:eastAsia="宋体" w:cs="宋体"/>
      <w:b/>
      <w:bCs/>
      <w:color w:val="000000"/>
      <w:sz w:val="21"/>
      <w:szCs w:val="21"/>
      <w:u w:val="none"/>
    </w:rPr>
  </w:style>
  <w:style w:type="character" w:customStyle="1" w:styleId="25">
    <w:name w:val="font61"/>
    <w:basedOn w:val="13"/>
    <w:qFormat/>
    <w:uiPriority w:val="0"/>
    <w:rPr>
      <w:rFonts w:hint="eastAsia" w:ascii="宋体" w:hAnsi="宋体" w:eastAsia="宋体" w:cs="宋体"/>
      <w:color w:val="000000"/>
      <w:sz w:val="21"/>
      <w:szCs w:val="21"/>
      <w:u w:val="none"/>
    </w:rPr>
  </w:style>
  <w:style w:type="character" w:customStyle="1" w:styleId="26">
    <w:name w:val="font71"/>
    <w:basedOn w:val="13"/>
    <w:qFormat/>
    <w:uiPriority w:val="0"/>
    <w:rPr>
      <w:rFonts w:hint="default" w:ascii="Times New Roman" w:hAnsi="Times New Roman" w:cs="Times New Roman"/>
      <w:color w:val="000000"/>
      <w:sz w:val="21"/>
      <w:szCs w:val="21"/>
      <w:u w:val="none"/>
    </w:rPr>
  </w:style>
  <w:style w:type="character" w:customStyle="1" w:styleId="27">
    <w:name w:val="font51"/>
    <w:basedOn w:val="13"/>
    <w:qFormat/>
    <w:uiPriority w:val="0"/>
    <w:rPr>
      <w:rFonts w:hint="default" w:ascii="Times New Roman" w:hAnsi="Times New Roman" w:cs="Times New Roman"/>
      <w:color w:val="000000"/>
      <w:sz w:val="21"/>
      <w:szCs w:val="21"/>
      <w:u w:val="none"/>
    </w:rPr>
  </w:style>
  <w:style w:type="character" w:customStyle="1" w:styleId="28">
    <w:name w:val="批注文字 字符"/>
    <w:basedOn w:val="13"/>
    <w:link w:val="5"/>
    <w:semiHidden/>
    <w:qFormat/>
    <w:uiPriority w:val="0"/>
    <w:rPr>
      <w:rFonts w:asciiTheme="minorHAnsi" w:hAnsiTheme="minorHAnsi" w:cstheme="minorBidi"/>
      <w:kern w:val="2"/>
      <w:sz w:val="28"/>
      <w:szCs w:val="24"/>
    </w:rPr>
  </w:style>
  <w:style w:type="character" w:customStyle="1" w:styleId="29">
    <w:name w:val="批注主题 字符"/>
    <w:basedOn w:val="28"/>
    <w:link w:val="10"/>
    <w:semiHidden/>
    <w:qFormat/>
    <w:uiPriority w:val="0"/>
    <w:rPr>
      <w:rFonts w:asciiTheme="minorHAnsi" w:hAnsiTheme="minorHAnsi" w:cstheme="minorBidi"/>
      <w:b/>
      <w:bCs/>
      <w:kern w:val="2"/>
      <w:sz w:val="28"/>
      <w:szCs w:val="24"/>
    </w:rPr>
  </w:style>
  <w:style w:type="character" w:customStyle="1" w:styleId="30">
    <w:name w:val="批注框文本 字符"/>
    <w:basedOn w:val="13"/>
    <w:link w:val="6"/>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1498</Words>
  <Characters>8539</Characters>
  <Lines>71</Lines>
  <Paragraphs>20</Paragraphs>
  <TotalTime>99</TotalTime>
  <ScaleCrop>false</ScaleCrop>
  <LinksUpToDate>false</LinksUpToDate>
  <CharactersWithSpaces>10017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橙皮</cp:lastModifiedBy>
  <cp:lastPrinted>2024-03-11T07:59:00Z</cp:lastPrinted>
  <dcterms:modified xsi:type="dcterms:W3CDTF">2024-03-15T04:05:27Z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3B89419413BD48E6B71AE0FD53A56FAD_13</vt:lpwstr>
  </property>
</Properties>
</file>