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spacing w:line="480" w:lineRule="auto"/>
        <w:jc w:val="center"/>
        <w:rPr>
          <w:rFonts w:hint="eastAsia" w:eastAsiaTheme="minorEastAsia"/>
          <w:b/>
          <w:color w:val="auto"/>
          <w:sz w:val="36"/>
          <w:szCs w:val="36"/>
          <w:highlight w:val="none"/>
          <w:lang w:eastAsia="zh-CN"/>
        </w:rPr>
      </w:pPr>
      <w:r>
        <w:rPr>
          <w:rFonts w:hint="eastAsia" w:cs="Arial"/>
          <w:b/>
          <w:color w:val="auto"/>
          <w:sz w:val="36"/>
          <w:szCs w:val="36"/>
          <w:highlight w:val="none"/>
          <w:lang w:eastAsia="zh-CN"/>
        </w:rPr>
        <w:t>G353线（原S310线）宁南杨家湾子至会东县城公路改建工程等21个公路建设项目竣工财务决算审计中介服务机构</w:t>
      </w:r>
      <w:r>
        <w:rPr>
          <w:rFonts w:hint="eastAsia" w:cs="Arial"/>
          <w:b/>
          <w:color w:val="auto"/>
          <w:sz w:val="36"/>
          <w:szCs w:val="36"/>
          <w:highlight w:val="none"/>
          <w:lang w:eastAsia="zh-CN"/>
        </w:rPr>
        <w:t>（</w:t>
      </w:r>
      <w:r>
        <w:rPr>
          <w:rFonts w:hint="eastAsia" w:cs="Arial"/>
          <w:b/>
          <w:color w:val="auto"/>
          <w:sz w:val="36"/>
          <w:szCs w:val="36"/>
          <w:highlight w:val="none"/>
          <w:lang w:val="en-US" w:eastAsia="zh-CN"/>
        </w:rPr>
        <w:t>一标段</w:t>
      </w:r>
      <w:r>
        <w:rPr>
          <w:rFonts w:hint="eastAsia" w:cs="Arial"/>
          <w:b/>
          <w:color w:val="auto"/>
          <w:sz w:val="36"/>
          <w:szCs w:val="36"/>
          <w:highlight w:val="none"/>
          <w:lang w:eastAsia="zh-CN"/>
        </w:rPr>
        <w:t>）</w:t>
      </w:r>
    </w:p>
    <w:p>
      <w:pPr>
        <w:spacing w:line="1000" w:lineRule="exact"/>
        <w:jc w:val="center"/>
        <w:rPr>
          <w:rFonts w:ascii="黑体" w:hAnsi="黑体" w:eastAsia="黑体"/>
          <w:color w:val="auto"/>
          <w:w w:val="110"/>
          <w:sz w:val="44"/>
          <w:szCs w:val="44"/>
          <w:highlight w:val="none"/>
        </w:rPr>
      </w:pPr>
    </w:p>
    <w:p>
      <w:pPr>
        <w:spacing w:line="1600" w:lineRule="exact"/>
        <w:jc w:val="center"/>
        <w:rPr>
          <w:rFonts w:ascii="黑体" w:hAnsi="黑体" w:eastAsia="黑体"/>
          <w:color w:val="auto"/>
          <w:w w:val="110"/>
          <w:sz w:val="96"/>
          <w:szCs w:val="96"/>
          <w:highlight w:val="none"/>
        </w:rPr>
      </w:pPr>
      <w:r>
        <w:rPr>
          <w:rFonts w:hint="eastAsia" w:ascii="黑体" w:hAnsi="黑体" w:eastAsia="黑体"/>
          <w:color w:val="auto"/>
          <w:w w:val="110"/>
          <w:sz w:val="96"/>
          <w:szCs w:val="96"/>
          <w:highlight w:val="none"/>
        </w:rPr>
        <w:t>比</w:t>
      </w:r>
    </w:p>
    <w:p>
      <w:pPr>
        <w:spacing w:line="1600" w:lineRule="exact"/>
        <w:jc w:val="center"/>
        <w:rPr>
          <w:rFonts w:ascii="黑体" w:hAnsi="黑体" w:eastAsia="黑体"/>
          <w:color w:val="auto"/>
          <w:w w:val="110"/>
          <w:sz w:val="96"/>
          <w:szCs w:val="96"/>
          <w:highlight w:val="none"/>
        </w:rPr>
      </w:pPr>
      <w:r>
        <w:rPr>
          <w:rFonts w:hint="eastAsia" w:ascii="黑体" w:hAnsi="黑体" w:eastAsia="黑体"/>
          <w:color w:val="auto"/>
          <w:w w:val="110"/>
          <w:sz w:val="96"/>
          <w:szCs w:val="96"/>
          <w:highlight w:val="none"/>
        </w:rPr>
        <w:t>选</w:t>
      </w:r>
    </w:p>
    <w:p>
      <w:pPr>
        <w:spacing w:line="1600" w:lineRule="exact"/>
        <w:jc w:val="center"/>
        <w:rPr>
          <w:rFonts w:ascii="黑体" w:hAnsi="黑体" w:eastAsia="黑体"/>
          <w:color w:val="auto"/>
          <w:w w:val="110"/>
          <w:sz w:val="96"/>
          <w:szCs w:val="96"/>
          <w:highlight w:val="none"/>
        </w:rPr>
      </w:pPr>
      <w:r>
        <w:rPr>
          <w:rFonts w:hint="eastAsia" w:ascii="黑体" w:hAnsi="黑体" w:eastAsia="黑体"/>
          <w:color w:val="auto"/>
          <w:w w:val="110"/>
          <w:sz w:val="96"/>
          <w:szCs w:val="96"/>
          <w:highlight w:val="none"/>
        </w:rPr>
        <w:t>文</w:t>
      </w:r>
    </w:p>
    <w:p>
      <w:pPr>
        <w:spacing w:line="1600" w:lineRule="exact"/>
        <w:jc w:val="center"/>
        <w:rPr>
          <w:rFonts w:hint="eastAsia" w:ascii="黑体" w:hAnsi="黑体" w:eastAsia="黑体"/>
          <w:color w:val="auto"/>
          <w:w w:val="110"/>
          <w:sz w:val="96"/>
          <w:szCs w:val="96"/>
          <w:highlight w:val="none"/>
        </w:rPr>
      </w:pPr>
      <w:r>
        <w:rPr>
          <w:rFonts w:hint="eastAsia" w:ascii="黑体" w:hAnsi="黑体" w:eastAsia="黑体"/>
          <w:color w:val="auto"/>
          <w:w w:val="110"/>
          <w:sz w:val="96"/>
          <w:szCs w:val="96"/>
          <w:highlight w:val="none"/>
        </w:rPr>
        <w:t>件</w:t>
      </w:r>
    </w:p>
    <w:p>
      <w:pPr>
        <w:pStyle w:val="10"/>
        <w:rPr>
          <w:color w:val="auto"/>
          <w:highlight w:val="none"/>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黑体" w:hAnsi="黑体" w:eastAsia="黑体"/>
          <w:color w:val="auto"/>
          <w:w w:val="90"/>
          <w:sz w:val="40"/>
          <w:szCs w:val="40"/>
          <w:highlight w:val="none"/>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黑体" w:hAnsi="黑体" w:eastAsia="黑体"/>
          <w:color w:val="auto"/>
          <w:w w:val="90"/>
          <w:sz w:val="36"/>
          <w:szCs w:val="36"/>
          <w:highlight w:val="none"/>
        </w:rPr>
      </w:pPr>
      <w:r>
        <w:rPr>
          <w:rFonts w:hint="eastAsia" w:ascii="黑体" w:hAnsi="黑体" w:eastAsia="黑体"/>
          <w:color w:val="auto"/>
          <w:w w:val="90"/>
          <w:sz w:val="36"/>
          <w:szCs w:val="36"/>
          <w:highlight w:val="none"/>
        </w:rPr>
        <w:t>比选人</w:t>
      </w:r>
      <w:r>
        <w:rPr>
          <w:rFonts w:ascii="黑体" w:hAnsi="黑体" w:eastAsia="黑体"/>
          <w:color w:val="auto"/>
          <w:w w:val="90"/>
          <w:sz w:val="36"/>
          <w:szCs w:val="36"/>
          <w:highlight w:val="none"/>
        </w:rPr>
        <w:t>:</w:t>
      </w:r>
      <w:r>
        <w:rPr>
          <w:rFonts w:hint="eastAsia" w:ascii="黑体" w:hAnsi="黑体" w:eastAsia="黑体"/>
          <w:color w:val="auto"/>
          <w:w w:val="90"/>
          <w:sz w:val="36"/>
          <w:szCs w:val="36"/>
          <w:highlight w:val="none"/>
        </w:rPr>
        <w:t>凉山州国有交通投资发展集团有限责任公司</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黑体" w:hAnsi="黑体" w:eastAsia="黑体"/>
          <w:color w:val="auto"/>
          <w:w w:val="90"/>
          <w:sz w:val="36"/>
          <w:szCs w:val="36"/>
          <w:highlight w:val="none"/>
        </w:rPr>
      </w:pPr>
      <w:r>
        <w:rPr>
          <w:rFonts w:hint="eastAsia" w:ascii="黑体" w:hAnsi="黑体" w:eastAsia="黑体"/>
          <w:color w:val="auto"/>
          <w:w w:val="90"/>
          <w:sz w:val="36"/>
          <w:szCs w:val="36"/>
          <w:highlight w:val="none"/>
        </w:rPr>
        <w:t>2</w:t>
      </w:r>
      <w:r>
        <w:rPr>
          <w:rFonts w:ascii="黑体" w:hAnsi="黑体" w:eastAsia="黑体"/>
          <w:color w:val="auto"/>
          <w:w w:val="90"/>
          <w:sz w:val="36"/>
          <w:szCs w:val="36"/>
          <w:highlight w:val="none"/>
        </w:rPr>
        <w:t>02</w:t>
      </w:r>
      <w:r>
        <w:rPr>
          <w:rFonts w:hint="eastAsia" w:ascii="黑体" w:hAnsi="黑体" w:eastAsia="黑体"/>
          <w:color w:val="auto"/>
          <w:w w:val="90"/>
          <w:sz w:val="36"/>
          <w:szCs w:val="36"/>
          <w:highlight w:val="none"/>
          <w:lang w:val="en-US" w:eastAsia="zh-CN"/>
        </w:rPr>
        <w:t>3</w:t>
      </w:r>
      <w:r>
        <w:rPr>
          <w:rFonts w:hint="eastAsia" w:ascii="黑体" w:hAnsi="黑体" w:eastAsia="黑体"/>
          <w:color w:val="auto"/>
          <w:w w:val="90"/>
          <w:sz w:val="36"/>
          <w:szCs w:val="36"/>
          <w:highlight w:val="none"/>
        </w:rPr>
        <w:t>年</w:t>
      </w:r>
      <w:r>
        <w:rPr>
          <w:rFonts w:hint="eastAsia" w:ascii="黑体" w:hAnsi="黑体" w:eastAsia="黑体"/>
          <w:color w:val="auto"/>
          <w:w w:val="90"/>
          <w:sz w:val="36"/>
          <w:szCs w:val="36"/>
          <w:highlight w:val="none"/>
          <w:lang w:val="en-US" w:eastAsia="zh-CN"/>
        </w:rPr>
        <w:t>8</w:t>
      </w:r>
      <w:r>
        <w:rPr>
          <w:rFonts w:hint="eastAsia" w:ascii="黑体" w:hAnsi="黑体" w:eastAsia="黑体"/>
          <w:color w:val="auto"/>
          <w:w w:val="90"/>
          <w:sz w:val="36"/>
          <w:szCs w:val="36"/>
          <w:highlight w:val="none"/>
        </w:rPr>
        <w:t>月</w:t>
      </w:r>
    </w:p>
    <w:p>
      <w:pPr>
        <w:keepNext w:val="0"/>
        <w:keepLines w:val="0"/>
        <w:pageBreakBefore/>
        <w:widowControl w:val="0"/>
        <w:kinsoku/>
        <w:wordWrap/>
        <w:overflowPunct/>
        <w:topLinePunct w:val="0"/>
        <w:autoSpaceDE/>
        <w:autoSpaceDN/>
        <w:bidi w:val="0"/>
        <w:adjustRightInd/>
        <w:snapToGrid/>
        <w:spacing w:line="1600" w:lineRule="exact"/>
        <w:jc w:val="center"/>
        <w:textAlignment w:val="auto"/>
        <w:rPr>
          <w:rFonts w:ascii="黑体" w:hAnsi="黑体" w:eastAsia="黑体"/>
          <w:color w:val="auto"/>
          <w:sz w:val="40"/>
          <w:szCs w:val="40"/>
          <w:highlight w:val="none"/>
        </w:rPr>
      </w:pPr>
      <w:r>
        <w:rPr>
          <w:rFonts w:hint="eastAsia" w:ascii="黑体" w:hAnsi="黑体" w:eastAsia="黑体"/>
          <w:color w:val="auto"/>
          <w:sz w:val="40"/>
          <w:szCs w:val="40"/>
          <w:highlight w:val="none"/>
        </w:rPr>
        <w:t xml:space="preserve">目 </w:t>
      </w:r>
      <w:r>
        <w:rPr>
          <w:rFonts w:ascii="黑体" w:hAnsi="黑体" w:eastAsia="黑体"/>
          <w:color w:val="auto"/>
          <w:sz w:val="40"/>
          <w:szCs w:val="40"/>
          <w:highlight w:val="none"/>
        </w:rPr>
        <w:t xml:space="preserve"> </w:t>
      </w:r>
      <w:r>
        <w:rPr>
          <w:rFonts w:hint="eastAsia" w:ascii="黑体" w:hAnsi="黑体" w:eastAsia="黑体"/>
          <w:color w:val="auto"/>
          <w:sz w:val="40"/>
          <w:szCs w:val="40"/>
          <w:highlight w:val="none"/>
        </w:rPr>
        <w:t>录</w:t>
      </w:r>
    </w:p>
    <w:p>
      <w:pPr>
        <w:spacing w:line="360" w:lineRule="auto"/>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 xml:space="preserve">第一部分 </w:t>
      </w:r>
      <w:r>
        <w:rPr>
          <w:rFonts w:ascii="仿宋" w:hAnsi="仿宋" w:eastAsia="仿宋" w:cs="Arial"/>
          <w:b/>
          <w:color w:val="auto"/>
          <w:sz w:val="32"/>
          <w:szCs w:val="32"/>
          <w:highlight w:val="none"/>
        </w:rPr>
        <w:t xml:space="preserve"> </w:t>
      </w:r>
      <w:r>
        <w:rPr>
          <w:rFonts w:hint="eastAsia" w:ascii="仿宋" w:hAnsi="仿宋" w:eastAsia="仿宋" w:cs="Arial"/>
          <w:b/>
          <w:color w:val="auto"/>
          <w:sz w:val="32"/>
          <w:szCs w:val="32"/>
          <w:highlight w:val="none"/>
        </w:rPr>
        <w:t>比选公告</w:t>
      </w:r>
      <w:r>
        <w:rPr>
          <w:rFonts w:ascii="仿宋" w:hAnsi="仿宋" w:eastAsia="仿宋" w:cs="Arial"/>
          <w:b/>
          <w:color w:val="auto"/>
          <w:sz w:val="32"/>
          <w:szCs w:val="32"/>
          <w:highlight w:val="none"/>
        </w:rPr>
        <w:t>…………………………………………3</w:t>
      </w:r>
    </w:p>
    <w:p>
      <w:pPr>
        <w:spacing w:line="360" w:lineRule="auto"/>
        <w:jc w:val="left"/>
        <w:rPr>
          <w:rFonts w:hint="eastAsia" w:ascii="仿宋" w:hAnsi="仿宋" w:eastAsia="仿宋" w:cs="Arial"/>
          <w:b/>
          <w:color w:val="auto"/>
          <w:sz w:val="32"/>
          <w:szCs w:val="32"/>
          <w:highlight w:val="none"/>
          <w:lang w:eastAsia="zh-CN"/>
        </w:rPr>
      </w:pPr>
      <w:r>
        <w:rPr>
          <w:rFonts w:hint="eastAsia" w:ascii="仿宋" w:hAnsi="仿宋" w:eastAsia="仿宋" w:cs="Arial"/>
          <w:b/>
          <w:color w:val="auto"/>
          <w:sz w:val="32"/>
          <w:szCs w:val="32"/>
          <w:highlight w:val="none"/>
        </w:rPr>
        <w:t xml:space="preserve">第二部分 </w:t>
      </w:r>
      <w:r>
        <w:rPr>
          <w:rFonts w:ascii="仿宋" w:hAnsi="仿宋" w:eastAsia="仿宋" w:cs="Arial"/>
          <w:b/>
          <w:color w:val="auto"/>
          <w:sz w:val="32"/>
          <w:szCs w:val="32"/>
          <w:highlight w:val="none"/>
        </w:rPr>
        <w:t xml:space="preserve"> </w:t>
      </w:r>
      <w:r>
        <w:rPr>
          <w:rFonts w:hint="eastAsia" w:ascii="仿宋" w:hAnsi="仿宋" w:eastAsia="仿宋" w:cs="Arial"/>
          <w:b/>
          <w:color w:val="auto"/>
          <w:sz w:val="32"/>
          <w:szCs w:val="32"/>
          <w:highlight w:val="none"/>
        </w:rPr>
        <w:t>申请人须知</w:t>
      </w:r>
      <w:r>
        <w:rPr>
          <w:rFonts w:ascii="仿宋" w:hAnsi="仿宋" w:eastAsia="仿宋" w:cs="Arial"/>
          <w:b/>
          <w:color w:val="auto"/>
          <w:sz w:val="32"/>
          <w:szCs w:val="32"/>
          <w:highlight w:val="none"/>
        </w:rPr>
        <w:t>………………………………………</w:t>
      </w:r>
      <w:r>
        <w:rPr>
          <w:rFonts w:hint="eastAsia" w:ascii="仿宋" w:hAnsi="仿宋" w:eastAsia="仿宋" w:cs="Arial"/>
          <w:b/>
          <w:color w:val="auto"/>
          <w:sz w:val="32"/>
          <w:szCs w:val="32"/>
          <w:highlight w:val="none"/>
          <w:lang w:val="en-US" w:eastAsia="zh-CN"/>
        </w:rPr>
        <w:t>7</w:t>
      </w:r>
    </w:p>
    <w:p>
      <w:pPr>
        <w:pStyle w:val="17"/>
        <w:tabs>
          <w:tab w:val="right" w:leader="dot" w:pos="9174"/>
        </w:tabs>
        <w:spacing w:line="360" w:lineRule="auto"/>
        <w:ind w:firstLine="643" w:firstLineChars="200"/>
        <w:rPr>
          <w:rFonts w:ascii="仿宋" w:hAnsi="仿宋" w:eastAsia="仿宋" w:cs="Arial"/>
          <w:b/>
          <w:color w:val="auto"/>
          <w:sz w:val="32"/>
          <w:szCs w:val="32"/>
          <w:highlight w:val="none"/>
        </w:rPr>
      </w:pPr>
      <w:r>
        <w:rPr>
          <w:rFonts w:ascii="仿宋" w:hAnsi="仿宋" w:eastAsia="仿宋" w:cs="Arial"/>
          <w:b/>
          <w:color w:val="auto"/>
          <w:sz w:val="32"/>
          <w:szCs w:val="32"/>
          <w:highlight w:val="none"/>
        </w:rPr>
        <w:t xml:space="preserve">第一章 </w:t>
      </w:r>
      <w:r>
        <w:rPr>
          <w:rFonts w:hint="eastAsia" w:ascii="仿宋" w:hAnsi="仿宋" w:eastAsia="仿宋" w:cs="Arial"/>
          <w:b/>
          <w:color w:val="auto"/>
          <w:sz w:val="32"/>
          <w:szCs w:val="32"/>
          <w:highlight w:val="none"/>
        </w:rPr>
        <w:t>项目标段</w:t>
      </w:r>
      <w:r>
        <w:rPr>
          <w:rFonts w:ascii="仿宋" w:hAnsi="仿宋" w:eastAsia="仿宋" w:cs="Arial"/>
          <w:b/>
          <w:color w:val="auto"/>
          <w:sz w:val="32"/>
          <w:szCs w:val="32"/>
          <w:highlight w:val="none"/>
        </w:rPr>
        <w:t>……………………………………… 6</w:t>
      </w:r>
    </w:p>
    <w:p>
      <w:pPr>
        <w:ind w:left="638" w:leftChars="304"/>
        <w:rPr>
          <w:rFonts w:hint="default" w:ascii="仿宋" w:hAnsi="仿宋" w:eastAsia="仿宋" w:cs="Arial"/>
          <w:b/>
          <w:color w:val="auto"/>
          <w:sz w:val="32"/>
          <w:szCs w:val="32"/>
          <w:highlight w:val="none"/>
          <w:lang w:val="en-US" w:eastAsia="zh-CN"/>
        </w:rPr>
      </w:pPr>
      <w:r>
        <w:rPr>
          <w:rFonts w:ascii="仿宋" w:hAnsi="仿宋" w:eastAsia="仿宋" w:cs="Arial"/>
          <w:b/>
          <w:color w:val="auto"/>
          <w:sz w:val="32"/>
          <w:szCs w:val="32"/>
          <w:highlight w:val="none"/>
        </w:rPr>
        <w:t>第</w:t>
      </w:r>
      <w:r>
        <w:rPr>
          <w:rFonts w:hint="eastAsia" w:ascii="仿宋" w:hAnsi="仿宋" w:eastAsia="仿宋" w:cs="Arial"/>
          <w:b/>
          <w:color w:val="auto"/>
          <w:sz w:val="32"/>
          <w:szCs w:val="32"/>
          <w:highlight w:val="none"/>
        </w:rPr>
        <w:t>二</w:t>
      </w:r>
      <w:r>
        <w:rPr>
          <w:rFonts w:ascii="仿宋" w:hAnsi="仿宋" w:eastAsia="仿宋" w:cs="Arial"/>
          <w:b/>
          <w:color w:val="auto"/>
          <w:sz w:val="32"/>
          <w:szCs w:val="32"/>
          <w:highlight w:val="none"/>
        </w:rPr>
        <w:t>章</w:t>
      </w:r>
      <w:r>
        <w:rPr>
          <w:rFonts w:hint="eastAsia" w:ascii="仿宋" w:hAnsi="仿宋" w:eastAsia="仿宋" w:cs="Arial"/>
          <w:b/>
          <w:color w:val="auto"/>
          <w:sz w:val="32"/>
          <w:szCs w:val="32"/>
          <w:highlight w:val="none"/>
        </w:rPr>
        <w:t xml:space="preserve"> 申请人资格要求</w:t>
      </w:r>
      <w:r>
        <w:rPr>
          <w:rFonts w:ascii="仿宋" w:hAnsi="仿宋" w:eastAsia="仿宋" w:cs="Arial"/>
          <w:b/>
          <w:color w:val="auto"/>
          <w:sz w:val="32"/>
          <w:szCs w:val="32"/>
          <w:highlight w:val="none"/>
        </w:rPr>
        <w:t>………………………………</w:t>
      </w:r>
      <w:r>
        <w:rPr>
          <w:rFonts w:hint="eastAsia" w:ascii="仿宋" w:hAnsi="仿宋" w:eastAsia="仿宋" w:cs="Arial"/>
          <w:b/>
          <w:color w:val="auto"/>
          <w:sz w:val="32"/>
          <w:szCs w:val="32"/>
          <w:highlight w:val="none"/>
          <w:lang w:val="en-US" w:eastAsia="zh-CN"/>
        </w:rPr>
        <w:t xml:space="preserve"> 8</w:t>
      </w:r>
    </w:p>
    <w:p>
      <w:pPr>
        <w:ind w:left="638" w:leftChars="304"/>
        <w:rPr>
          <w:rFonts w:hint="eastAsia" w:ascii="仿宋" w:hAnsi="仿宋" w:eastAsia="仿宋" w:cs="Arial"/>
          <w:b/>
          <w:color w:val="auto"/>
          <w:sz w:val="32"/>
          <w:szCs w:val="32"/>
          <w:highlight w:val="none"/>
          <w:lang w:val="en-US" w:eastAsia="zh-CN"/>
        </w:rPr>
      </w:pPr>
      <w:r>
        <w:rPr>
          <w:rFonts w:ascii="仿宋" w:hAnsi="仿宋" w:eastAsia="仿宋" w:cs="Arial"/>
          <w:b/>
          <w:color w:val="auto"/>
          <w:sz w:val="32"/>
          <w:szCs w:val="32"/>
          <w:highlight w:val="none"/>
        </w:rPr>
        <w:t>第</w:t>
      </w:r>
      <w:r>
        <w:rPr>
          <w:rFonts w:hint="eastAsia" w:ascii="仿宋" w:hAnsi="仿宋" w:eastAsia="仿宋" w:cs="Arial"/>
          <w:b/>
          <w:color w:val="auto"/>
          <w:sz w:val="32"/>
          <w:szCs w:val="32"/>
          <w:highlight w:val="none"/>
        </w:rPr>
        <w:t>三</w:t>
      </w:r>
      <w:r>
        <w:rPr>
          <w:rFonts w:ascii="仿宋" w:hAnsi="仿宋" w:eastAsia="仿宋" w:cs="Arial"/>
          <w:b/>
          <w:color w:val="auto"/>
          <w:sz w:val="32"/>
          <w:szCs w:val="32"/>
          <w:highlight w:val="none"/>
        </w:rPr>
        <w:t>章</w:t>
      </w:r>
      <w:r>
        <w:rPr>
          <w:rFonts w:hint="eastAsia" w:ascii="仿宋" w:hAnsi="仿宋" w:eastAsia="仿宋" w:cs="Arial"/>
          <w:b/>
          <w:color w:val="auto"/>
          <w:sz w:val="32"/>
          <w:szCs w:val="32"/>
          <w:highlight w:val="none"/>
        </w:rPr>
        <w:t xml:space="preserve"> 比选议程</w:t>
      </w:r>
      <w:r>
        <w:rPr>
          <w:rFonts w:ascii="仿宋" w:hAnsi="仿宋" w:eastAsia="仿宋" w:cs="Arial"/>
          <w:b/>
          <w:color w:val="auto"/>
          <w:sz w:val="32"/>
          <w:szCs w:val="32"/>
          <w:highlight w:val="none"/>
        </w:rPr>
        <w:t>………………………………………</w:t>
      </w:r>
      <w:r>
        <w:rPr>
          <w:rFonts w:hint="eastAsia" w:ascii="仿宋" w:hAnsi="仿宋" w:eastAsia="仿宋" w:cs="Arial"/>
          <w:b/>
          <w:color w:val="auto"/>
          <w:sz w:val="32"/>
          <w:szCs w:val="32"/>
          <w:highlight w:val="none"/>
          <w:lang w:val="en-US" w:eastAsia="zh-CN"/>
        </w:rPr>
        <w:t xml:space="preserve"> 9</w:t>
      </w:r>
    </w:p>
    <w:p>
      <w:pPr>
        <w:ind w:firstLine="643" w:firstLineChars="200"/>
        <w:rPr>
          <w:rFonts w:hint="default" w:ascii="仿宋" w:hAnsi="仿宋" w:eastAsia="仿宋" w:cs="Arial"/>
          <w:b/>
          <w:color w:val="auto"/>
          <w:sz w:val="32"/>
          <w:szCs w:val="32"/>
          <w:highlight w:val="none"/>
          <w:lang w:val="en-US" w:eastAsia="zh-CN"/>
        </w:rPr>
      </w:pPr>
      <w:r>
        <w:rPr>
          <w:rFonts w:ascii="仿宋" w:hAnsi="仿宋" w:eastAsia="仿宋" w:cs="Arial"/>
          <w:b/>
          <w:color w:val="auto"/>
          <w:sz w:val="32"/>
          <w:szCs w:val="32"/>
          <w:highlight w:val="none"/>
        </w:rPr>
        <w:t>第</w:t>
      </w:r>
      <w:r>
        <w:rPr>
          <w:rFonts w:hint="eastAsia" w:ascii="仿宋" w:hAnsi="仿宋" w:eastAsia="仿宋" w:cs="Arial"/>
          <w:b/>
          <w:color w:val="auto"/>
          <w:sz w:val="32"/>
          <w:szCs w:val="32"/>
          <w:highlight w:val="none"/>
        </w:rPr>
        <w:t>四</w:t>
      </w:r>
      <w:r>
        <w:rPr>
          <w:rFonts w:ascii="仿宋" w:hAnsi="仿宋" w:eastAsia="仿宋" w:cs="Arial"/>
          <w:b/>
          <w:color w:val="auto"/>
          <w:sz w:val="32"/>
          <w:szCs w:val="32"/>
          <w:highlight w:val="none"/>
        </w:rPr>
        <w:t>章</w:t>
      </w:r>
      <w:r>
        <w:rPr>
          <w:rFonts w:hint="eastAsia" w:ascii="仿宋" w:hAnsi="仿宋" w:eastAsia="仿宋" w:cs="Arial"/>
          <w:b/>
          <w:color w:val="auto"/>
          <w:sz w:val="32"/>
          <w:szCs w:val="32"/>
          <w:highlight w:val="none"/>
        </w:rPr>
        <w:t xml:space="preserve"> 比选报价及规定</w:t>
      </w:r>
      <w:r>
        <w:rPr>
          <w:rFonts w:ascii="仿宋" w:hAnsi="仿宋" w:eastAsia="仿宋" w:cs="Arial"/>
          <w:b/>
          <w:color w:val="auto"/>
          <w:sz w:val="32"/>
          <w:szCs w:val="32"/>
          <w:highlight w:val="none"/>
        </w:rPr>
        <w:t>……………………</w:t>
      </w:r>
      <w:bookmarkStart w:id="0" w:name="_Hlk79351487"/>
      <w:r>
        <w:rPr>
          <w:rFonts w:ascii="仿宋" w:hAnsi="仿宋" w:eastAsia="仿宋" w:cs="Arial"/>
          <w:b/>
          <w:color w:val="auto"/>
          <w:sz w:val="32"/>
          <w:szCs w:val="32"/>
          <w:highlight w:val="none"/>
        </w:rPr>
        <w:t>…</w:t>
      </w:r>
      <w:bookmarkEnd w:id="0"/>
      <w:r>
        <w:rPr>
          <w:rFonts w:ascii="仿宋" w:hAnsi="仿宋" w:eastAsia="仿宋" w:cs="Arial"/>
          <w:b/>
          <w:color w:val="auto"/>
          <w:sz w:val="32"/>
          <w:szCs w:val="32"/>
          <w:highlight w:val="none"/>
        </w:rPr>
        <w:t>………</w:t>
      </w:r>
      <w:r>
        <w:rPr>
          <w:rFonts w:hint="eastAsia" w:ascii="仿宋" w:hAnsi="仿宋" w:eastAsia="仿宋" w:cs="Arial"/>
          <w:b/>
          <w:color w:val="auto"/>
          <w:sz w:val="32"/>
          <w:szCs w:val="32"/>
          <w:highlight w:val="none"/>
          <w:lang w:val="en-US" w:eastAsia="zh-CN"/>
        </w:rPr>
        <w:t xml:space="preserve"> 10</w:t>
      </w:r>
    </w:p>
    <w:p>
      <w:pPr>
        <w:ind w:left="638" w:leftChars="304" w:firstLine="0" w:firstLineChars="0"/>
        <w:rPr>
          <w:rFonts w:hint="eastAsia" w:ascii="仿宋" w:hAnsi="仿宋" w:eastAsia="仿宋" w:cs="Arial"/>
          <w:b/>
          <w:color w:val="auto"/>
          <w:sz w:val="32"/>
          <w:szCs w:val="32"/>
          <w:highlight w:val="none"/>
          <w:lang w:val="en-US" w:eastAsia="zh-CN"/>
        </w:rPr>
      </w:pPr>
      <w:r>
        <w:rPr>
          <w:rFonts w:hint="eastAsia" w:ascii="仿宋" w:hAnsi="仿宋" w:eastAsia="仿宋" w:cs="Arial"/>
          <w:b/>
          <w:color w:val="auto"/>
          <w:sz w:val="32"/>
          <w:szCs w:val="32"/>
          <w:highlight w:val="none"/>
        </w:rPr>
        <w:t>第五章 比选文件的编制</w:t>
      </w:r>
      <w:r>
        <w:rPr>
          <w:rFonts w:ascii="仿宋" w:hAnsi="仿宋" w:eastAsia="仿宋" w:cs="Arial"/>
          <w:b/>
          <w:color w:val="auto"/>
          <w:sz w:val="32"/>
          <w:szCs w:val="32"/>
          <w:highlight w:val="none"/>
        </w:rPr>
        <w:t>………………………………</w:t>
      </w:r>
      <w:r>
        <w:rPr>
          <w:rFonts w:hint="eastAsia" w:ascii="仿宋" w:hAnsi="仿宋" w:eastAsia="仿宋" w:cs="Arial"/>
          <w:b/>
          <w:color w:val="auto"/>
          <w:sz w:val="32"/>
          <w:szCs w:val="32"/>
          <w:highlight w:val="none"/>
          <w:lang w:val="en-US" w:eastAsia="zh-CN"/>
        </w:rPr>
        <w:t>12</w:t>
      </w:r>
      <w:r>
        <w:rPr>
          <w:rFonts w:hint="eastAsia" w:ascii="仿宋" w:hAnsi="仿宋" w:eastAsia="仿宋" w:cs="Arial"/>
          <w:b/>
          <w:color w:val="auto"/>
          <w:sz w:val="32"/>
          <w:szCs w:val="32"/>
          <w:highlight w:val="none"/>
        </w:rPr>
        <w:t>第六章 比选文件的递交</w:t>
      </w:r>
      <w:r>
        <w:rPr>
          <w:rFonts w:ascii="仿宋" w:hAnsi="仿宋" w:eastAsia="仿宋" w:cs="Arial"/>
          <w:b/>
          <w:color w:val="auto"/>
          <w:sz w:val="32"/>
          <w:szCs w:val="32"/>
          <w:highlight w:val="none"/>
        </w:rPr>
        <w:t>………………………………</w:t>
      </w:r>
      <w:r>
        <w:rPr>
          <w:rFonts w:hint="eastAsia" w:ascii="仿宋" w:hAnsi="仿宋" w:eastAsia="仿宋" w:cs="Arial"/>
          <w:b/>
          <w:color w:val="auto"/>
          <w:sz w:val="32"/>
          <w:szCs w:val="32"/>
          <w:highlight w:val="none"/>
        </w:rPr>
        <w:t>1</w:t>
      </w:r>
      <w:r>
        <w:rPr>
          <w:rFonts w:hint="eastAsia" w:ascii="仿宋" w:hAnsi="仿宋" w:eastAsia="仿宋" w:cs="Arial"/>
          <w:b/>
          <w:color w:val="auto"/>
          <w:sz w:val="32"/>
          <w:szCs w:val="32"/>
          <w:highlight w:val="none"/>
          <w:lang w:val="en-US" w:eastAsia="zh-CN"/>
        </w:rPr>
        <w:t>4</w:t>
      </w:r>
    </w:p>
    <w:p>
      <w:pPr>
        <w:ind w:left="638" w:leftChars="304" w:firstLine="0" w:firstLineChars="0"/>
        <w:rPr>
          <w:rFonts w:hint="default" w:ascii="仿宋" w:hAnsi="仿宋" w:eastAsia="仿宋" w:cs="Arial"/>
          <w:b/>
          <w:color w:val="auto"/>
          <w:sz w:val="32"/>
          <w:szCs w:val="32"/>
          <w:highlight w:val="none"/>
          <w:lang w:val="en-US" w:eastAsia="zh-CN"/>
        </w:rPr>
      </w:pPr>
      <w:r>
        <w:rPr>
          <w:rFonts w:hint="eastAsia" w:ascii="仿宋" w:hAnsi="仿宋" w:eastAsia="仿宋" w:cs="Arial"/>
          <w:b/>
          <w:color w:val="auto"/>
          <w:sz w:val="32"/>
          <w:szCs w:val="32"/>
          <w:highlight w:val="none"/>
        </w:rPr>
        <w:t>第七章 开标与评标</w:t>
      </w:r>
      <w:r>
        <w:rPr>
          <w:rFonts w:ascii="仿宋" w:hAnsi="仿宋" w:eastAsia="仿宋" w:cs="Arial"/>
          <w:b/>
          <w:color w:val="auto"/>
          <w:sz w:val="32"/>
          <w:szCs w:val="32"/>
          <w:highlight w:val="none"/>
        </w:rPr>
        <w:t>……………………………………</w:t>
      </w:r>
      <w:r>
        <w:rPr>
          <w:rFonts w:hint="eastAsia" w:ascii="仿宋" w:hAnsi="仿宋" w:eastAsia="仿宋" w:cs="Arial"/>
          <w:b/>
          <w:color w:val="auto"/>
          <w:sz w:val="32"/>
          <w:szCs w:val="32"/>
          <w:highlight w:val="none"/>
        </w:rPr>
        <w:t>1</w:t>
      </w:r>
      <w:r>
        <w:rPr>
          <w:rFonts w:hint="eastAsia" w:ascii="仿宋" w:hAnsi="仿宋" w:eastAsia="仿宋" w:cs="Arial"/>
          <w:b/>
          <w:color w:val="auto"/>
          <w:sz w:val="32"/>
          <w:szCs w:val="32"/>
          <w:highlight w:val="none"/>
          <w:lang w:val="en-US" w:eastAsia="zh-CN"/>
        </w:rPr>
        <w:t>5</w:t>
      </w:r>
      <w:r>
        <w:rPr>
          <w:rFonts w:ascii="仿宋" w:hAnsi="仿宋" w:eastAsia="仿宋" w:cs="Arial"/>
          <w:b/>
          <w:color w:val="auto"/>
          <w:sz w:val="32"/>
          <w:szCs w:val="32"/>
          <w:highlight w:val="none"/>
        </w:rPr>
        <w:t>第</w:t>
      </w:r>
      <w:r>
        <w:rPr>
          <w:rFonts w:hint="eastAsia" w:ascii="仿宋" w:hAnsi="仿宋" w:eastAsia="仿宋" w:cs="Arial"/>
          <w:b/>
          <w:color w:val="auto"/>
          <w:sz w:val="32"/>
          <w:szCs w:val="32"/>
          <w:highlight w:val="none"/>
        </w:rPr>
        <w:t>八</w:t>
      </w:r>
      <w:r>
        <w:rPr>
          <w:rFonts w:ascii="仿宋" w:hAnsi="仿宋" w:eastAsia="仿宋" w:cs="Arial"/>
          <w:b/>
          <w:color w:val="auto"/>
          <w:sz w:val="32"/>
          <w:szCs w:val="32"/>
          <w:highlight w:val="none"/>
        </w:rPr>
        <w:t>章 合同条款………………………………………</w:t>
      </w:r>
      <w:r>
        <w:rPr>
          <w:rFonts w:hint="eastAsia" w:ascii="仿宋" w:hAnsi="仿宋" w:eastAsia="仿宋" w:cs="Arial"/>
          <w:b/>
          <w:color w:val="auto"/>
          <w:sz w:val="32"/>
          <w:szCs w:val="32"/>
          <w:highlight w:val="none"/>
          <w:lang w:val="en-US" w:eastAsia="zh-CN"/>
        </w:rPr>
        <w:t>20</w:t>
      </w:r>
    </w:p>
    <w:p>
      <w:pPr>
        <w:rPr>
          <w:rFonts w:hint="eastAsia" w:ascii="仿宋" w:hAnsi="仿宋" w:eastAsia="仿宋" w:cs="Arial"/>
          <w:b/>
          <w:color w:val="auto"/>
          <w:sz w:val="32"/>
          <w:szCs w:val="32"/>
          <w:highlight w:val="none"/>
          <w:lang w:val="en-US" w:eastAsia="zh-CN"/>
        </w:rPr>
      </w:pPr>
      <w:r>
        <w:rPr>
          <w:rFonts w:hint="eastAsia" w:ascii="仿宋" w:hAnsi="仿宋" w:eastAsia="仿宋" w:cs="Arial"/>
          <w:b/>
          <w:color w:val="auto"/>
          <w:sz w:val="32"/>
          <w:szCs w:val="32"/>
          <w:highlight w:val="none"/>
        </w:rPr>
        <w:t xml:space="preserve">第三部分 </w:t>
      </w:r>
      <w:r>
        <w:rPr>
          <w:rFonts w:ascii="仿宋" w:hAnsi="仿宋" w:eastAsia="仿宋" w:cs="Arial"/>
          <w:b/>
          <w:color w:val="auto"/>
          <w:sz w:val="32"/>
          <w:szCs w:val="32"/>
          <w:highlight w:val="none"/>
        </w:rPr>
        <w:t xml:space="preserve"> </w:t>
      </w:r>
      <w:r>
        <w:rPr>
          <w:rFonts w:hint="eastAsia" w:ascii="仿宋" w:hAnsi="仿宋" w:eastAsia="仿宋" w:cs="Arial"/>
          <w:b/>
          <w:color w:val="auto"/>
          <w:sz w:val="32"/>
          <w:szCs w:val="32"/>
          <w:highlight w:val="none"/>
        </w:rPr>
        <w:t>附件部分</w:t>
      </w:r>
      <w:r>
        <w:rPr>
          <w:rFonts w:ascii="仿宋" w:hAnsi="仿宋" w:eastAsia="仿宋" w:cs="Arial"/>
          <w:b/>
          <w:color w:val="auto"/>
          <w:sz w:val="32"/>
          <w:szCs w:val="32"/>
          <w:highlight w:val="none"/>
        </w:rPr>
        <w:t>………………………………………</w:t>
      </w:r>
      <w:r>
        <w:rPr>
          <w:rFonts w:hint="eastAsia" w:ascii="仿宋" w:hAnsi="仿宋" w:eastAsia="仿宋" w:cs="Arial"/>
          <w:b/>
          <w:color w:val="auto"/>
          <w:sz w:val="32"/>
          <w:szCs w:val="32"/>
          <w:highlight w:val="none"/>
        </w:rPr>
        <w:t>2</w:t>
      </w:r>
      <w:r>
        <w:rPr>
          <w:rFonts w:hint="eastAsia" w:ascii="仿宋" w:hAnsi="仿宋" w:eastAsia="仿宋" w:cs="Arial"/>
          <w:b/>
          <w:color w:val="auto"/>
          <w:sz w:val="32"/>
          <w:szCs w:val="32"/>
          <w:highlight w:val="none"/>
          <w:lang w:val="en-US" w:eastAsia="zh-CN"/>
        </w:rPr>
        <w:t>9</w:t>
      </w:r>
    </w:p>
    <w:p>
      <w:pPr>
        <w:keepNext w:val="0"/>
        <w:keepLines w:val="0"/>
        <w:pageBreakBefore w:val="0"/>
        <w:widowControl w:val="0"/>
        <w:kinsoku/>
        <w:wordWrap/>
        <w:overflowPunct/>
        <w:topLinePunct w:val="0"/>
        <w:autoSpaceDE/>
        <w:autoSpaceDN/>
        <w:bidi w:val="0"/>
        <w:snapToGrid/>
        <w:spacing w:line="560" w:lineRule="exact"/>
        <w:ind w:firstLine="643" w:firstLineChars="200"/>
        <w:rPr>
          <w:rFonts w:hint="eastAsia" w:ascii="仿宋" w:hAnsi="仿宋" w:eastAsia="仿宋" w:cs="Arial"/>
          <w:b/>
          <w:color w:val="auto"/>
          <w:sz w:val="32"/>
          <w:szCs w:val="32"/>
          <w:highlight w:val="none"/>
          <w:lang w:eastAsia="zh-CN"/>
        </w:rPr>
      </w:pPr>
      <w:r>
        <w:rPr>
          <w:rFonts w:hint="eastAsia" w:ascii="仿宋" w:hAnsi="仿宋" w:eastAsia="仿宋" w:cs="Arial"/>
          <w:b/>
          <w:color w:val="auto"/>
          <w:sz w:val="32"/>
          <w:szCs w:val="32"/>
          <w:highlight w:val="none"/>
        </w:rPr>
        <w:t>附件一：比选</w:t>
      </w:r>
      <w:r>
        <w:rPr>
          <w:rFonts w:hint="eastAsia" w:ascii="仿宋" w:hAnsi="仿宋" w:eastAsia="仿宋" w:cs="Arial"/>
          <w:b/>
          <w:color w:val="auto"/>
          <w:sz w:val="32"/>
          <w:szCs w:val="32"/>
          <w:highlight w:val="none"/>
          <w:lang w:val="en-US" w:eastAsia="zh-CN"/>
        </w:rPr>
        <w:t>函</w:t>
      </w:r>
    </w:p>
    <w:p>
      <w:pPr>
        <w:keepNext w:val="0"/>
        <w:keepLines w:val="0"/>
        <w:pageBreakBefore w:val="0"/>
        <w:widowControl w:val="0"/>
        <w:kinsoku/>
        <w:wordWrap/>
        <w:overflowPunct/>
        <w:topLinePunct w:val="0"/>
        <w:autoSpaceDE/>
        <w:autoSpaceDN/>
        <w:bidi w:val="0"/>
        <w:snapToGrid/>
        <w:spacing w:line="560" w:lineRule="exact"/>
        <w:ind w:firstLine="643" w:firstLineChars="200"/>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附件二：法定代表人身份证明</w:t>
      </w:r>
    </w:p>
    <w:p>
      <w:pPr>
        <w:keepNext w:val="0"/>
        <w:keepLines w:val="0"/>
        <w:pageBreakBefore w:val="0"/>
        <w:widowControl w:val="0"/>
        <w:kinsoku/>
        <w:wordWrap/>
        <w:overflowPunct/>
        <w:topLinePunct w:val="0"/>
        <w:autoSpaceDE/>
        <w:autoSpaceDN/>
        <w:bidi w:val="0"/>
        <w:snapToGrid/>
        <w:spacing w:line="560" w:lineRule="exact"/>
        <w:ind w:firstLine="643" w:firstLineChars="200"/>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附件三：授权委托书</w:t>
      </w:r>
    </w:p>
    <w:p>
      <w:pPr>
        <w:keepNext w:val="0"/>
        <w:keepLines w:val="0"/>
        <w:pageBreakBefore w:val="0"/>
        <w:widowControl w:val="0"/>
        <w:kinsoku/>
        <w:wordWrap/>
        <w:overflowPunct/>
        <w:topLinePunct w:val="0"/>
        <w:autoSpaceDE/>
        <w:autoSpaceDN/>
        <w:bidi w:val="0"/>
        <w:snapToGrid/>
        <w:spacing w:line="560" w:lineRule="exact"/>
        <w:ind w:firstLine="643" w:firstLineChars="200"/>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附件四：比选申请人基本情况一览表</w:t>
      </w:r>
    </w:p>
    <w:p>
      <w:pPr>
        <w:keepNext w:val="0"/>
        <w:keepLines w:val="0"/>
        <w:pageBreakBefore w:val="0"/>
        <w:widowControl w:val="0"/>
        <w:kinsoku/>
        <w:wordWrap/>
        <w:overflowPunct/>
        <w:topLinePunct w:val="0"/>
        <w:autoSpaceDE/>
        <w:autoSpaceDN/>
        <w:bidi w:val="0"/>
        <w:snapToGrid/>
        <w:spacing w:line="560" w:lineRule="exact"/>
        <w:ind w:firstLine="643" w:firstLineChars="200"/>
        <w:rPr>
          <w:rFonts w:hint="eastAsia" w:ascii="仿宋" w:hAnsi="仿宋" w:eastAsia="仿宋" w:cs="Arial"/>
          <w:b/>
          <w:color w:val="auto"/>
          <w:sz w:val="32"/>
          <w:szCs w:val="32"/>
          <w:highlight w:val="none"/>
        </w:rPr>
      </w:pPr>
      <w:r>
        <w:rPr>
          <w:rFonts w:hint="eastAsia" w:ascii="仿宋" w:hAnsi="仿宋" w:eastAsia="仿宋" w:cs="Arial"/>
          <w:b/>
          <w:color w:val="auto"/>
          <w:sz w:val="32"/>
          <w:szCs w:val="32"/>
          <w:highlight w:val="none"/>
        </w:rPr>
        <w:t>附件五：拟从事本项目审计人员一览表</w:t>
      </w:r>
    </w:p>
    <w:p>
      <w:pPr>
        <w:pStyle w:val="2"/>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Arial"/>
          <w:b/>
          <w:color w:val="auto"/>
          <w:sz w:val="32"/>
          <w:szCs w:val="32"/>
          <w:highlight w:val="none"/>
          <w:lang w:val="en-US" w:eastAsia="zh-CN"/>
        </w:rPr>
      </w:pPr>
      <w:r>
        <w:rPr>
          <w:rFonts w:hint="eastAsia" w:ascii="仿宋" w:hAnsi="仿宋" w:eastAsia="仿宋" w:cs="Arial"/>
          <w:b/>
          <w:color w:val="auto"/>
          <w:sz w:val="32"/>
          <w:szCs w:val="32"/>
          <w:highlight w:val="none"/>
          <w:lang w:val="en-US" w:eastAsia="zh-CN"/>
        </w:rPr>
        <w:t>附件六：业绩一览表</w:t>
      </w:r>
    </w:p>
    <w:p>
      <w:pPr>
        <w:pStyle w:val="2"/>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Arial"/>
          <w:b/>
          <w:color w:val="auto"/>
          <w:sz w:val="32"/>
          <w:szCs w:val="32"/>
          <w:highlight w:val="none"/>
          <w:lang w:val="en-US" w:eastAsia="zh-CN"/>
        </w:rPr>
      </w:pPr>
      <w:r>
        <w:rPr>
          <w:rFonts w:hint="eastAsia" w:ascii="仿宋" w:hAnsi="仿宋" w:eastAsia="仿宋" w:cs="Arial"/>
          <w:b/>
          <w:color w:val="auto"/>
          <w:sz w:val="32"/>
          <w:szCs w:val="32"/>
          <w:highlight w:val="none"/>
          <w:lang w:val="en-US" w:eastAsia="zh-CN"/>
        </w:rPr>
        <w:t>附件七：审计服务方案</w:t>
      </w:r>
    </w:p>
    <w:p>
      <w:pPr>
        <w:pStyle w:val="2"/>
        <w:keepNext w:val="0"/>
        <w:keepLines w:val="0"/>
        <w:pageBreakBefore w:val="0"/>
        <w:widowControl w:val="0"/>
        <w:kinsoku/>
        <w:wordWrap/>
        <w:overflowPunct/>
        <w:topLinePunct w:val="0"/>
        <w:autoSpaceDE/>
        <w:autoSpaceDN/>
        <w:bidi w:val="0"/>
        <w:snapToGrid/>
        <w:spacing w:line="560" w:lineRule="exact"/>
        <w:rPr>
          <w:rFonts w:hint="default" w:ascii="仿宋" w:hAnsi="仿宋" w:eastAsia="仿宋" w:cs="Arial"/>
          <w:b/>
          <w:color w:val="auto"/>
          <w:sz w:val="32"/>
          <w:szCs w:val="32"/>
          <w:highlight w:val="none"/>
          <w:lang w:val="en-US" w:eastAsia="zh-CN"/>
        </w:rPr>
      </w:pPr>
      <w:r>
        <w:rPr>
          <w:rFonts w:hint="eastAsia" w:ascii="仿宋" w:hAnsi="仿宋" w:eastAsia="仿宋" w:cs="Arial"/>
          <w:b/>
          <w:color w:val="auto"/>
          <w:sz w:val="32"/>
          <w:szCs w:val="32"/>
          <w:highlight w:val="none"/>
          <w:lang w:val="en-US" w:eastAsia="zh-CN"/>
        </w:rPr>
        <w:t>附件八：其他资料</w:t>
      </w:r>
    </w:p>
    <w:p>
      <w:pPr>
        <w:ind w:firstLine="643" w:firstLineChars="200"/>
        <w:rPr>
          <w:rFonts w:ascii="仿宋" w:hAnsi="仿宋" w:eastAsia="仿宋" w:cs="Arial"/>
          <w:b/>
          <w:color w:val="auto"/>
          <w:sz w:val="32"/>
          <w:szCs w:val="32"/>
          <w:highlight w:val="none"/>
        </w:rPr>
      </w:pPr>
    </w:p>
    <w:p>
      <w:pPr>
        <w:pStyle w:val="10"/>
        <w:ind w:firstLine="642"/>
        <w:rPr>
          <w:color w:val="auto"/>
          <w:highlight w:val="none"/>
        </w:rPr>
      </w:pPr>
    </w:p>
    <w:p>
      <w:pPr>
        <w:pStyle w:val="32"/>
        <w:keepNext w:val="0"/>
        <w:keepLines w:val="0"/>
        <w:pageBreakBefore/>
        <w:widowControl/>
        <w:numPr>
          <w:ilvl w:val="0"/>
          <w:numId w:val="1"/>
        </w:numPr>
        <w:kinsoku/>
        <w:wordWrap/>
        <w:overflowPunct/>
        <w:topLinePunct w:val="0"/>
        <w:autoSpaceDE/>
        <w:autoSpaceDN/>
        <w:bidi w:val="0"/>
        <w:adjustRightInd/>
        <w:snapToGrid/>
        <w:spacing w:before="0" w:beforeAutospacing="0" w:after="0" w:afterAutospacing="0" w:line="539" w:lineRule="atLeast"/>
        <w:jc w:val="center"/>
        <w:textAlignment w:val="auto"/>
        <w:rPr>
          <w:rFonts w:hint="eastAsia" w:ascii="黑体" w:hAnsi="黑体" w:eastAsia="黑体"/>
          <w:b/>
          <w:color w:val="auto"/>
          <w:sz w:val="36"/>
          <w:szCs w:val="36"/>
          <w:highlight w:val="none"/>
        </w:rPr>
      </w:pPr>
      <w:r>
        <w:rPr>
          <w:rFonts w:hint="eastAsia" w:ascii="黑体" w:hAnsi="黑体" w:eastAsia="黑体"/>
          <w:b/>
          <w:color w:val="auto"/>
          <w:sz w:val="36"/>
          <w:szCs w:val="36"/>
          <w:highlight w:val="none"/>
        </w:rPr>
        <w:t>比选公告</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olor w:val="auto"/>
          <w:sz w:val="32"/>
          <w:szCs w:val="32"/>
          <w:highlight w:val="none"/>
        </w:rPr>
      </w:pPr>
      <w:r>
        <w:rPr>
          <w:rFonts w:hint="eastAsia" w:ascii="仿宋" w:hAnsi="仿宋" w:eastAsia="仿宋" w:cs="仿宋"/>
          <w:color w:val="auto"/>
          <w:kern w:val="0"/>
          <w:sz w:val="32"/>
          <w:szCs w:val="32"/>
          <w:highlight w:val="none"/>
          <w:lang w:val="en-US" w:eastAsia="zh-CN" w:bidi="ar-SA"/>
        </w:rPr>
        <w:t>根据《凉山州国有资产监督管理委员会关于印发&lt;凉山州国资委及出资企业中介机构选聘管理办法&gt;的通知》（凉国资[2019]114号）文件，凉山州国有交通投资发展集团有限责任公司（以下简称“比选人”），拟对G353线（原S310线）宁南杨家湾子至会东县城公路改建工程等21个公路工程建设项目进行工程竣工财务决算审计中介机构</w:t>
      </w:r>
      <w:r>
        <w:rPr>
          <w:rFonts w:hint="eastAsia" w:ascii="仿宋" w:hAnsi="仿宋" w:eastAsia="仿宋" w:cs="仿宋"/>
          <w:b/>
          <w:bCs/>
          <w:color w:val="auto"/>
          <w:kern w:val="0"/>
          <w:sz w:val="32"/>
          <w:szCs w:val="32"/>
          <w:highlight w:val="none"/>
          <w:lang w:val="en-US" w:eastAsia="zh-CN" w:bidi="ar-SA"/>
        </w:rPr>
        <w:t>（一标段）</w:t>
      </w:r>
      <w:r>
        <w:rPr>
          <w:rFonts w:hint="eastAsia" w:ascii="仿宋" w:hAnsi="仿宋" w:eastAsia="仿宋" w:cs="仿宋"/>
          <w:color w:val="auto"/>
          <w:kern w:val="0"/>
          <w:sz w:val="32"/>
          <w:szCs w:val="32"/>
          <w:highlight w:val="none"/>
          <w:lang w:val="en-US" w:eastAsia="zh-CN" w:bidi="ar-SA"/>
        </w:rPr>
        <w:t>公开比选。本着公开、公平、公正、择优的原则进行公开比选，特欢迎合格比选申请人参加比选。</w:t>
      </w:r>
      <w:r>
        <w:rPr>
          <w:rFonts w:hint="eastAsia" w:ascii="仿宋" w:hAnsi="仿宋" w:eastAsia="仿宋" w:cs="仿宋"/>
          <w:color w:val="auto"/>
          <w:sz w:val="32"/>
          <w:szCs w:val="32"/>
          <w:highlight w:val="none"/>
        </w:rPr>
        <w:t>现将有关事项公告如下：</w:t>
      </w:r>
    </w:p>
    <w:p>
      <w:pPr>
        <w:pStyle w:val="19"/>
        <w:keepNext w:val="0"/>
        <w:keepLines w:val="0"/>
        <w:pageBreakBefore w:val="0"/>
        <w:kinsoku/>
        <w:wordWrap/>
        <w:overflowPunct/>
        <w:topLinePunct w:val="0"/>
        <w:autoSpaceDE/>
        <w:autoSpaceDN/>
        <w:bidi w:val="0"/>
        <w:adjustRightInd/>
        <w:snapToGrid/>
        <w:spacing w:before="0" w:beforeAutospacing="0" w:after="0" w:afterAutospacing="0" w:line="579" w:lineRule="exact"/>
        <w:textAlignment w:val="auto"/>
        <w:rPr>
          <w:rFonts w:hint="eastAsia" w:ascii="&amp;quot" w:hAnsi="&amp;quot" w:eastAsia="黑体"/>
          <w:color w:val="auto"/>
          <w:sz w:val="32"/>
          <w:szCs w:val="32"/>
          <w:highlight w:val="none"/>
          <w:lang w:eastAsia="zh-CN"/>
        </w:rPr>
      </w:pPr>
      <w:r>
        <w:rPr>
          <w:rFonts w:hint="eastAsia" w:ascii="黑体" w:hAnsi="黑体" w:eastAsia="黑体"/>
          <w:color w:val="auto"/>
          <w:sz w:val="32"/>
          <w:szCs w:val="32"/>
          <w:highlight w:val="none"/>
        </w:rPr>
        <w:t>一、</w:t>
      </w:r>
      <w:r>
        <w:rPr>
          <w:rFonts w:hint="eastAsia" w:ascii="黑体" w:hAnsi="黑体" w:eastAsia="黑体"/>
          <w:color w:val="auto"/>
          <w:sz w:val="32"/>
          <w:szCs w:val="32"/>
          <w:highlight w:val="none"/>
          <w:lang w:eastAsia="zh-CN"/>
        </w:rPr>
        <w:t>项目标段划分及预计决算金额</w:t>
      </w:r>
    </w:p>
    <w:tbl>
      <w:tblPr>
        <w:tblStyle w:val="21"/>
        <w:tblpPr w:leftFromText="180" w:rightFromText="180" w:vertAnchor="text" w:horzAnchor="page" w:tblpX="1995" w:tblpY="290"/>
        <w:tblOverlap w:val="never"/>
        <w:tblW w:w="48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880"/>
        <w:gridCol w:w="2350"/>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543" w:type="pct"/>
            <w:tcBorders>
              <w:left w:val="single" w:color="auto" w:sz="4" w:space="0"/>
              <w:bottom w:val="single" w:color="auto" w:sz="4" w:space="0"/>
            </w:tcBorders>
            <w:noWrap w:val="0"/>
            <w:vAlign w:val="top"/>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序号</w:t>
            </w:r>
          </w:p>
        </w:tc>
        <w:tc>
          <w:tcPr>
            <w:tcW w:w="1718" w:type="pct"/>
            <w:tcBorders>
              <w:bottom w:val="single" w:color="auto" w:sz="4" w:space="0"/>
            </w:tcBorders>
            <w:noWrap w:val="0"/>
            <w:vAlign w:val="top"/>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项目名称</w:t>
            </w:r>
          </w:p>
        </w:tc>
        <w:tc>
          <w:tcPr>
            <w:tcW w:w="1402" w:type="pct"/>
            <w:tcBorders>
              <w:bottom w:val="single" w:color="auto" w:sz="4" w:space="0"/>
            </w:tcBorders>
            <w:noWrap w:val="0"/>
            <w:vAlign w:val="top"/>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服务类型</w:t>
            </w:r>
          </w:p>
        </w:tc>
        <w:tc>
          <w:tcPr>
            <w:tcW w:w="1336" w:type="pct"/>
            <w:tcBorders>
              <w:bottom w:val="single" w:color="auto" w:sz="4" w:space="0"/>
            </w:tcBorders>
            <w:noWrap w:val="0"/>
            <w:vAlign w:val="top"/>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预计决算金额（万元）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43" w:type="pct"/>
            <w:tcBorders>
              <w:top w:val="single" w:color="auto" w:sz="4" w:space="0"/>
              <w:left w:val="single" w:color="auto" w:sz="4" w:space="0"/>
              <w:bottom w:val="single" w:color="auto" w:sz="4" w:space="0"/>
            </w:tcBorders>
            <w:noWrap w:val="0"/>
            <w:vAlign w:val="center"/>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p>
        </w:tc>
        <w:tc>
          <w:tcPr>
            <w:tcW w:w="1718" w:type="pct"/>
            <w:tcBorders>
              <w:top w:val="single" w:color="auto" w:sz="4" w:space="0"/>
              <w:bottom w:val="single" w:color="auto" w:sz="4" w:space="0"/>
            </w:tcBorders>
            <w:noWrap w:val="0"/>
            <w:vAlign w:val="top"/>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一标段</w:t>
            </w:r>
          </w:p>
        </w:tc>
        <w:tc>
          <w:tcPr>
            <w:tcW w:w="1402" w:type="pct"/>
            <w:vMerge w:val="restart"/>
            <w:tcBorders>
              <w:top w:val="single" w:color="auto" w:sz="4" w:space="0"/>
            </w:tcBorders>
            <w:noWrap w:val="0"/>
            <w:vAlign w:val="top"/>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工程竣工财务决算审计</w:t>
            </w:r>
          </w:p>
        </w:tc>
        <w:tc>
          <w:tcPr>
            <w:tcW w:w="1336" w:type="pct"/>
            <w:tcBorders>
              <w:top w:val="single" w:color="auto" w:sz="4" w:space="0"/>
              <w:bottom w:val="single" w:color="auto" w:sz="4" w:space="0"/>
            </w:tcBorders>
            <w:noWrap w:val="0"/>
            <w:vAlign w:val="top"/>
          </w:tcPr>
          <w:p>
            <w:pPr>
              <w:spacing w:line="36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325318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43" w:type="pct"/>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p>
        </w:tc>
        <w:tc>
          <w:tcPr>
            <w:tcW w:w="1718" w:type="pct"/>
            <w:tcBorders>
              <w:top w:val="single" w:color="auto" w:sz="4" w:space="0"/>
              <w:bottom w:val="single" w:color="auto" w:sz="4" w:space="0"/>
            </w:tcBorders>
            <w:noWrap w:val="0"/>
            <w:vAlign w:val="top"/>
          </w:tcPr>
          <w:p>
            <w:pPr>
              <w:spacing w:line="36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二标段</w:t>
            </w:r>
          </w:p>
        </w:tc>
        <w:tc>
          <w:tcPr>
            <w:tcW w:w="1402" w:type="pct"/>
            <w:vMerge w:val="continue"/>
            <w:noWrap w:val="0"/>
            <w:vAlign w:val="top"/>
          </w:tcPr>
          <w:p>
            <w:pPr>
              <w:spacing w:line="360" w:lineRule="auto"/>
              <w:jc w:val="center"/>
              <w:rPr>
                <w:rFonts w:hint="eastAsia" w:ascii="仿宋" w:hAnsi="仿宋" w:eastAsia="仿宋" w:cs="仿宋"/>
                <w:color w:val="auto"/>
                <w:sz w:val="32"/>
                <w:szCs w:val="32"/>
                <w:highlight w:val="none"/>
                <w:lang w:val="en-US" w:eastAsia="zh-CN"/>
              </w:rPr>
            </w:pPr>
          </w:p>
        </w:tc>
        <w:tc>
          <w:tcPr>
            <w:tcW w:w="1336" w:type="pct"/>
            <w:tcBorders>
              <w:top w:val="single" w:color="auto" w:sz="4" w:space="0"/>
              <w:bottom w:val="single" w:color="auto" w:sz="4" w:space="0"/>
            </w:tcBorders>
            <w:noWrap w:val="0"/>
            <w:vAlign w:val="top"/>
          </w:tcPr>
          <w:p>
            <w:pPr>
              <w:spacing w:line="36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43" w:type="pct"/>
            <w:tcBorders>
              <w:top w:val="single" w:color="auto" w:sz="4" w:space="0"/>
            </w:tcBorders>
            <w:noWrap w:val="0"/>
            <w:vAlign w:val="center"/>
          </w:tcPr>
          <w:p>
            <w:pPr>
              <w:spacing w:line="36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p>
        </w:tc>
        <w:tc>
          <w:tcPr>
            <w:tcW w:w="1718" w:type="pct"/>
            <w:tcBorders>
              <w:top w:val="single" w:color="auto" w:sz="4" w:space="0"/>
            </w:tcBorders>
            <w:noWrap w:val="0"/>
            <w:vAlign w:val="top"/>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三标段</w:t>
            </w:r>
          </w:p>
        </w:tc>
        <w:tc>
          <w:tcPr>
            <w:tcW w:w="1402" w:type="pct"/>
            <w:vMerge w:val="continue"/>
            <w:noWrap w:val="0"/>
            <w:vAlign w:val="top"/>
          </w:tcPr>
          <w:p>
            <w:pPr>
              <w:spacing w:line="360" w:lineRule="auto"/>
              <w:jc w:val="center"/>
              <w:rPr>
                <w:rFonts w:hint="eastAsia" w:ascii="仿宋" w:hAnsi="仿宋" w:eastAsia="仿宋" w:cs="仿宋"/>
                <w:color w:val="auto"/>
                <w:sz w:val="32"/>
                <w:szCs w:val="32"/>
                <w:highlight w:val="none"/>
                <w:lang w:val="en-US" w:eastAsia="zh-CN"/>
              </w:rPr>
            </w:pPr>
          </w:p>
        </w:tc>
        <w:tc>
          <w:tcPr>
            <w:tcW w:w="1336" w:type="pct"/>
            <w:tcBorders>
              <w:top w:val="single" w:color="auto" w:sz="4" w:space="0"/>
            </w:tcBorders>
            <w:noWrap w:val="0"/>
            <w:vAlign w:val="top"/>
          </w:tcPr>
          <w:p>
            <w:pPr>
              <w:spacing w:line="36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w:t>
            </w:r>
          </w:p>
        </w:tc>
      </w:tr>
    </w:tbl>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二、项目基本情况</w:t>
      </w:r>
    </w:p>
    <w:p>
      <w:pPr>
        <w:pStyle w:val="43"/>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G353线（原S310线）宁南杨家湾子至会东县城公路改建工程等21个公路工程建设项目竣工财务决算审计比选项目共分三个标段，一标段共八个项目预计决算金额325318万元， 因项目部分要件正在办理过程中，竣工财务决算审计需分两步完成，第一步在比选人提供审计资料后30日内出具初步审计报告，第二步在比选人提供补充完善的要件资料后10日内出具正式报告。</w:t>
      </w:r>
    </w:p>
    <w:p>
      <w:pPr>
        <w:pStyle w:val="19"/>
        <w:keepNext w:val="0"/>
        <w:keepLines w:val="0"/>
        <w:pageBreakBefore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olor w:val="auto"/>
          <w:sz w:val="32"/>
          <w:szCs w:val="32"/>
          <w:highlight w:val="none"/>
          <w:lang w:eastAsia="zh-CN"/>
        </w:rPr>
        <w:t>三、比选方式：</w:t>
      </w:r>
      <w:r>
        <w:rPr>
          <w:rFonts w:hint="eastAsia" w:ascii="仿宋" w:hAnsi="仿宋" w:eastAsia="仿宋" w:cs="仿宋"/>
          <w:color w:val="auto"/>
          <w:kern w:val="2"/>
          <w:sz w:val="32"/>
          <w:szCs w:val="32"/>
          <w:highlight w:val="none"/>
          <w:lang w:val="en-US" w:eastAsia="zh-CN" w:bidi="ar-SA"/>
        </w:rPr>
        <w:t>采取公开比选方式。</w:t>
      </w:r>
    </w:p>
    <w:p>
      <w:pPr>
        <w:pStyle w:val="19"/>
        <w:keepNext w:val="0"/>
        <w:keepLines w:val="0"/>
        <w:pageBreakBefore w:val="0"/>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四、资格条件及相关要求</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比选申请人应具备以下基本条件：</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（一）具有独立的法人资格且并持有有效的营业执照；</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（二）事务所须依法设立且执业5年（含）以上，具有财政部门颁发的准予执行注册会计师法定业务《执业证书》；</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（三）拟任项目负责人应具有注册会计师资格（提供执业证书），且至少有5年以上的从业经验，须是比选申请人的在册人员；</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（四）2020年1月1日以来，至少完成过2个公路工程竣工财务决算审计业务；</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（五）2020年1月1日以来，无违法、违规行为，未被国家相关主管部门给予没收违法所得、罚款、暂停执行部分或全部业务，未被吊销有关执业许可证或撤销会计师事务所等行政处罚（提供承诺书格式自拟）。</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（六）本次比选不接受因比选申请人本单位原因，放弃过比选人单位的比选（或招标）项目或在比选人单位有不良记录的比选申请人比选。</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both"/>
        <w:textAlignment w:val="auto"/>
        <w:rPr>
          <w:rFonts w:hint="eastAsia" w:ascii="黑体" w:hAnsi="黑体" w:eastAsia="黑体" w:cs="宋体"/>
          <w:color w:val="auto"/>
          <w:sz w:val="44"/>
          <w:szCs w:val="44"/>
          <w:highlight w:val="none"/>
          <w:lang w:eastAsia="zh-CN"/>
        </w:rPr>
      </w:pPr>
      <w:r>
        <w:rPr>
          <w:rFonts w:hint="eastAsia" w:ascii="黑体" w:hAnsi="黑体" w:eastAsia="黑体"/>
          <w:color w:val="auto"/>
          <w:sz w:val="32"/>
          <w:szCs w:val="32"/>
          <w:highlight w:val="none"/>
          <w:lang w:val="en-US" w:eastAsia="zh-CN"/>
        </w:rPr>
        <w:t>五、</w:t>
      </w:r>
      <w:r>
        <w:rPr>
          <w:rFonts w:hint="eastAsia" w:ascii="黑体" w:hAnsi="黑体" w:eastAsia="黑体"/>
          <w:color w:val="auto"/>
          <w:sz w:val="32"/>
          <w:szCs w:val="32"/>
          <w:highlight w:val="none"/>
          <w:lang w:eastAsia="zh-CN"/>
        </w:rPr>
        <w:t>合同工期：</w:t>
      </w:r>
      <w:r>
        <w:rPr>
          <w:rFonts w:hint="eastAsia" w:ascii="仿宋" w:hAnsi="仿宋" w:eastAsia="仿宋" w:cs="仿宋"/>
          <w:color w:val="auto"/>
          <w:kern w:val="2"/>
          <w:sz w:val="32"/>
          <w:szCs w:val="32"/>
          <w:highlight w:val="none"/>
          <w:lang w:val="en-US" w:eastAsia="zh-CN" w:bidi="ar-SA"/>
        </w:rPr>
        <w:t>40日历天。</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olor w:val="auto"/>
          <w:sz w:val="32"/>
          <w:szCs w:val="32"/>
          <w:highlight w:val="none"/>
          <w:lang w:val="en-US" w:eastAsia="zh-CN"/>
        </w:rPr>
        <w:t>六、</w:t>
      </w:r>
      <w:r>
        <w:rPr>
          <w:rFonts w:hint="eastAsia" w:ascii="黑体" w:hAnsi="黑体" w:eastAsia="黑体"/>
          <w:color w:val="auto"/>
          <w:sz w:val="32"/>
          <w:szCs w:val="32"/>
          <w:highlight w:val="none"/>
          <w:lang w:eastAsia="zh-CN"/>
        </w:rPr>
        <w:t>审计报告的质量要求：</w:t>
      </w:r>
      <w:r>
        <w:rPr>
          <w:rFonts w:hint="eastAsia" w:ascii="仿宋" w:hAnsi="仿宋" w:eastAsia="仿宋" w:cs="仿宋"/>
          <w:color w:val="auto"/>
          <w:kern w:val="2"/>
          <w:sz w:val="32"/>
          <w:szCs w:val="32"/>
          <w:highlight w:val="none"/>
          <w:lang w:val="en-US" w:eastAsia="zh-CN" w:bidi="ar-SA"/>
        </w:rPr>
        <w:t>审计过程和审计报告应符合《中国注册会计师执业准则》、《中国注册会计师职业道德守则》、《审计法》等相关法律、法规的要求。</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olor w:val="auto"/>
          <w:sz w:val="32"/>
          <w:szCs w:val="32"/>
          <w:highlight w:val="none"/>
          <w:lang w:val="en-US" w:eastAsia="zh-CN"/>
        </w:rPr>
        <w:t>七、</w:t>
      </w:r>
      <w:r>
        <w:rPr>
          <w:rFonts w:hint="eastAsia" w:ascii="黑体" w:hAnsi="黑体" w:eastAsia="黑体"/>
          <w:color w:val="auto"/>
          <w:sz w:val="32"/>
          <w:szCs w:val="32"/>
          <w:highlight w:val="none"/>
          <w:lang w:eastAsia="zh-CN"/>
        </w:rPr>
        <w:t>比选保证金：</w:t>
      </w:r>
      <w:r>
        <w:rPr>
          <w:rFonts w:hint="eastAsia" w:ascii="仿宋" w:hAnsi="仿宋" w:eastAsia="仿宋" w:cs="仿宋"/>
          <w:color w:val="auto"/>
          <w:kern w:val="2"/>
          <w:sz w:val="32"/>
          <w:szCs w:val="32"/>
          <w:highlight w:val="none"/>
          <w:lang w:val="en-US" w:eastAsia="zh-CN" w:bidi="ar-SA"/>
        </w:rPr>
        <w:t>每一标段人民币贰万元整，在比选截止日前缴纳。比选保证金有效期应与比选有效期一致。</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（一）比选保证金以银行转帐、电汇、网上银行转账的方式交纳。比选申请人须将电汇回执单或现金转账凭证影印件装入比选申请文件中。应在比选截止时间前到达指定账户：</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名称：凉山交投工程规划设计管理有限公司</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开户行：中国邮政储蓄银行股份有限公司西昌市支行</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银行账户：9510 0001 0005 0689 35</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（二）比选保证金（不计息）在中选通知书发出后，由比选申请人提出书面申请后10个工作日内，退回到比选申请人基本账户。</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（三）中选人在收到中选通知书后，无正当理由拒签合同协议书、在签订合同时向比选人提出附加条件或未按比选文件规定提交履约保证金，比选保证金将不予退还。</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val="en-US" w:eastAsia="zh-CN"/>
        </w:rPr>
        <w:t>八、</w:t>
      </w:r>
      <w:r>
        <w:rPr>
          <w:rFonts w:hint="eastAsia" w:ascii="黑体" w:hAnsi="黑体" w:eastAsia="黑体"/>
          <w:color w:val="auto"/>
          <w:sz w:val="32"/>
          <w:szCs w:val="32"/>
          <w:highlight w:val="none"/>
          <w:lang w:eastAsia="zh-CN"/>
        </w:rPr>
        <w:t>比选申请文件的递交截止时间及相关事宜</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（一）比选申请文件递交的截止时间（比选截止时间，下同）：</w:t>
      </w:r>
      <w:r>
        <w:rPr>
          <w:rFonts w:hint="eastAsia" w:ascii="仿宋" w:hAnsi="仿宋" w:eastAsia="仿宋" w:cs="仿宋"/>
          <w:color w:val="auto"/>
          <w:kern w:val="2"/>
          <w:sz w:val="32"/>
          <w:szCs w:val="32"/>
          <w:highlight w:val="none"/>
          <w:u w:val="single"/>
          <w:lang w:val="en-US" w:eastAsia="zh-CN" w:bidi="ar-SA"/>
        </w:rPr>
        <w:t>2023</w:t>
      </w:r>
      <w:r>
        <w:rPr>
          <w:rFonts w:hint="eastAsia" w:ascii="仿宋" w:hAnsi="仿宋" w:eastAsia="仿宋" w:cs="仿宋"/>
          <w:color w:val="auto"/>
          <w:kern w:val="2"/>
          <w:sz w:val="32"/>
          <w:szCs w:val="32"/>
          <w:highlight w:val="none"/>
          <w:lang w:val="en-US" w:eastAsia="zh-CN" w:bidi="ar-SA"/>
        </w:rPr>
        <w:t>年</w:t>
      </w:r>
      <w:r>
        <w:rPr>
          <w:rFonts w:hint="eastAsia" w:ascii="仿宋" w:hAnsi="仿宋" w:eastAsia="仿宋" w:cs="仿宋"/>
          <w:color w:val="auto"/>
          <w:kern w:val="2"/>
          <w:sz w:val="32"/>
          <w:szCs w:val="32"/>
          <w:highlight w:val="none"/>
          <w:u w:val="single"/>
          <w:lang w:val="en-US" w:eastAsia="zh-CN" w:bidi="ar-SA"/>
        </w:rPr>
        <w:t>8</w:t>
      </w:r>
      <w:r>
        <w:rPr>
          <w:rFonts w:hint="eastAsia" w:ascii="仿宋" w:hAnsi="仿宋" w:eastAsia="仿宋" w:cs="仿宋"/>
          <w:color w:val="auto"/>
          <w:kern w:val="2"/>
          <w:sz w:val="32"/>
          <w:szCs w:val="32"/>
          <w:highlight w:val="none"/>
          <w:lang w:val="en-US" w:eastAsia="zh-CN" w:bidi="ar-SA"/>
        </w:rPr>
        <w:t>月</w:t>
      </w:r>
      <w:r>
        <w:rPr>
          <w:rFonts w:hint="eastAsia" w:ascii="仿宋" w:hAnsi="仿宋" w:eastAsia="仿宋" w:cs="仿宋"/>
          <w:color w:val="auto"/>
          <w:kern w:val="2"/>
          <w:sz w:val="32"/>
          <w:szCs w:val="32"/>
          <w:highlight w:val="none"/>
          <w:u w:val="single"/>
          <w:lang w:val="en-US" w:eastAsia="zh-CN" w:bidi="ar-SA"/>
        </w:rPr>
        <w:t>18</w:t>
      </w:r>
      <w:r>
        <w:rPr>
          <w:rFonts w:hint="eastAsia" w:ascii="仿宋" w:hAnsi="仿宋" w:eastAsia="仿宋" w:cs="仿宋"/>
          <w:color w:val="auto"/>
          <w:kern w:val="2"/>
          <w:sz w:val="32"/>
          <w:szCs w:val="32"/>
          <w:highlight w:val="none"/>
          <w:lang w:val="en-US" w:eastAsia="zh-CN" w:bidi="ar-SA"/>
        </w:rPr>
        <w:t>日上午</w:t>
      </w:r>
      <w:r>
        <w:rPr>
          <w:rFonts w:hint="eastAsia" w:ascii="仿宋" w:hAnsi="仿宋" w:eastAsia="仿宋" w:cs="仿宋"/>
          <w:color w:val="auto"/>
          <w:kern w:val="2"/>
          <w:sz w:val="32"/>
          <w:szCs w:val="32"/>
          <w:highlight w:val="none"/>
          <w:u w:val="single"/>
          <w:lang w:val="en-US" w:eastAsia="zh-CN" w:bidi="ar-SA"/>
        </w:rPr>
        <w:t>9:30分</w:t>
      </w:r>
      <w:r>
        <w:rPr>
          <w:rFonts w:hint="eastAsia" w:ascii="仿宋" w:hAnsi="仿宋" w:eastAsia="仿宋" w:cs="仿宋"/>
          <w:color w:val="auto"/>
          <w:kern w:val="2"/>
          <w:sz w:val="32"/>
          <w:szCs w:val="32"/>
          <w:highlight w:val="none"/>
          <w:lang w:val="en-US" w:eastAsia="zh-CN" w:bidi="ar-SA"/>
        </w:rPr>
        <w:t>（北京时间）。地点为：凉山州国有交通投资发展集团有限责任公司三楼会议室（西昌市长安东路53号）。</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（二）逾期送达的、未送达指定地点的或不按照比选文件要求密封的比选申请文件，比选人将予以拒收。</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val="en-US" w:eastAsia="zh-CN"/>
        </w:rPr>
        <w:t>九、</w:t>
      </w:r>
      <w:r>
        <w:rPr>
          <w:rFonts w:hint="eastAsia" w:ascii="黑体" w:hAnsi="黑体" w:eastAsia="黑体"/>
          <w:color w:val="auto"/>
          <w:sz w:val="32"/>
          <w:szCs w:val="32"/>
          <w:highlight w:val="none"/>
          <w:lang w:eastAsia="zh-CN"/>
        </w:rPr>
        <w:t>发布公告的媒介</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比选公告发布网站：凡有意参加比选者，于2023年8月</w:t>
      </w:r>
      <w:r>
        <w:rPr>
          <w:rFonts w:hint="eastAsia" w:ascii="仿宋" w:hAnsi="仿宋" w:eastAsia="仿宋" w:cs="仿宋"/>
          <w:color w:val="auto"/>
          <w:kern w:val="2"/>
          <w:sz w:val="32"/>
          <w:szCs w:val="32"/>
          <w:highlight w:val="none"/>
          <w:u w:val="single"/>
          <w:lang w:val="en-US" w:eastAsia="zh-CN" w:bidi="ar-SA"/>
        </w:rPr>
        <w:t>6</w:t>
      </w:r>
      <w:r>
        <w:rPr>
          <w:rFonts w:hint="eastAsia" w:ascii="仿宋" w:hAnsi="仿宋" w:eastAsia="仿宋" w:cs="仿宋"/>
          <w:color w:val="auto"/>
          <w:kern w:val="2"/>
          <w:sz w:val="32"/>
          <w:szCs w:val="32"/>
          <w:highlight w:val="none"/>
          <w:lang w:val="en-US" w:eastAsia="zh-CN" w:bidi="ar-SA"/>
        </w:rPr>
        <w:t>日至2023年8月</w:t>
      </w:r>
      <w:r>
        <w:rPr>
          <w:rFonts w:hint="eastAsia" w:ascii="仿宋" w:hAnsi="仿宋" w:eastAsia="仿宋" w:cs="仿宋"/>
          <w:color w:val="auto"/>
          <w:kern w:val="2"/>
          <w:sz w:val="32"/>
          <w:szCs w:val="32"/>
          <w:highlight w:val="none"/>
          <w:u w:val="single"/>
          <w:lang w:val="en-US" w:eastAsia="zh-CN" w:bidi="ar-SA"/>
        </w:rPr>
        <w:t>10</w:t>
      </w:r>
      <w:r>
        <w:rPr>
          <w:rFonts w:hint="eastAsia" w:ascii="仿宋" w:hAnsi="仿宋" w:eastAsia="仿宋" w:cs="仿宋"/>
          <w:color w:val="auto"/>
          <w:kern w:val="2"/>
          <w:sz w:val="32"/>
          <w:szCs w:val="32"/>
          <w:highlight w:val="none"/>
          <w:lang w:val="en-US" w:eastAsia="zh-CN" w:bidi="ar-SA"/>
        </w:rPr>
        <w:t>日</w:t>
      </w:r>
      <w:r>
        <w:rPr>
          <w:rFonts w:hint="eastAsia" w:ascii="仿宋" w:hAnsi="仿宋" w:eastAsia="仿宋" w:cs="仿宋"/>
          <w:color w:val="auto"/>
          <w:kern w:val="2"/>
          <w:sz w:val="32"/>
          <w:szCs w:val="32"/>
          <w:highlight w:val="none"/>
          <w:lang w:val="en-US" w:eastAsia="zh-CN" w:bidi="ar-SA"/>
        </w:rPr>
        <w:t>前在凉山彝族自治州国有资产监督管理委员会（网址：http://gzw.lsz.gov.cn/）或凉山州国有交通投资发展集团有限责任公司（网址http://lsjtjt.cn/）下载比选文件。</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val="en-US" w:eastAsia="zh-CN"/>
        </w:rPr>
        <w:t>十、</w:t>
      </w:r>
      <w:r>
        <w:rPr>
          <w:rFonts w:hint="eastAsia" w:ascii="黑体" w:hAnsi="黑体" w:eastAsia="黑体"/>
          <w:color w:val="auto"/>
          <w:sz w:val="32"/>
          <w:szCs w:val="32"/>
          <w:highlight w:val="none"/>
          <w:lang w:eastAsia="zh-CN"/>
        </w:rPr>
        <w:t>联系方式</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比选人：凉山州国有交通投资发展集团有限责任公司 </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地  址：西昌市长安东路53号</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联系人：王女士</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联系电话：0834-6190302</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比选代理机构：凉山交投工程规划设计管理有限公司</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地  址：西昌市长安东路53号</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联系人：徐女士</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联系电话：18215749515</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ind w:right="0" w:firstLine="880" w:firstLineChars="200"/>
        <w:textAlignment w:val="auto"/>
        <w:rPr>
          <w:rFonts w:hint="eastAsia" w:ascii="仿宋" w:hAnsi="仿宋" w:eastAsia="仿宋" w:cs="仿宋"/>
          <w:color w:val="auto"/>
          <w:sz w:val="44"/>
          <w:szCs w:val="44"/>
          <w:highlight w:val="none"/>
          <w:lang w:val="en-US" w:eastAsia="zh-CN"/>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ind w:right="0" w:firstLine="880" w:firstLineChars="200"/>
        <w:textAlignment w:val="auto"/>
        <w:rPr>
          <w:rFonts w:hint="eastAsia" w:ascii="仿宋" w:hAnsi="仿宋" w:eastAsia="仿宋" w:cs="仿宋"/>
          <w:color w:val="auto"/>
          <w:sz w:val="44"/>
          <w:szCs w:val="44"/>
          <w:highlight w:val="none"/>
          <w:lang w:val="en-US" w:eastAsia="zh-CN"/>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480" w:lineRule="auto"/>
        <w:ind w:firstLine="1920" w:firstLineChars="6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凉山州国有交通投资发展集团有限责任公司</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480" w:lineRule="auto"/>
        <w:ind w:firstLine="3840" w:firstLineChars="1200"/>
        <w:textAlignment w:val="auto"/>
        <w:rPr>
          <w:rFonts w:hint="eastAsia"/>
          <w:color w:val="auto"/>
          <w:sz w:val="44"/>
          <w:szCs w:val="44"/>
          <w:highlight w:val="none"/>
        </w:rPr>
      </w:pPr>
      <w:r>
        <w:rPr>
          <w:rFonts w:hint="eastAsia" w:ascii="仿宋" w:hAnsi="仿宋" w:eastAsia="仿宋" w:cs="仿宋"/>
          <w:color w:val="auto"/>
          <w:kern w:val="2"/>
          <w:sz w:val="32"/>
          <w:szCs w:val="32"/>
          <w:highlight w:val="none"/>
          <w:lang w:val="en-US" w:eastAsia="zh-CN" w:bidi="ar-SA"/>
        </w:rPr>
        <w:t>2023年8月6日</w:t>
      </w:r>
    </w:p>
    <w:p>
      <w:pPr>
        <w:pStyle w:val="32"/>
        <w:keepNext w:val="0"/>
        <w:keepLines w:val="0"/>
        <w:pageBreakBefore/>
        <w:widowControl/>
        <w:numPr>
          <w:ilvl w:val="0"/>
          <w:numId w:val="1"/>
        </w:numPr>
        <w:kinsoku/>
        <w:wordWrap/>
        <w:overflowPunct/>
        <w:topLinePunct w:val="0"/>
        <w:autoSpaceDE/>
        <w:autoSpaceDN/>
        <w:bidi w:val="0"/>
        <w:adjustRightInd/>
        <w:snapToGrid/>
        <w:spacing w:before="0" w:beforeAutospacing="0" w:after="0" w:afterAutospacing="0" w:line="539" w:lineRule="atLeast"/>
        <w:jc w:val="center"/>
        <w:textAlignment w:val="auto"/>
        <w:rPr>
          <w:rFonts w:hint="eastAsia" w:ascii="黑体" w:hAnsi="黑体" w:eastAsia="黑体"/>
          <w:b/>
          <w:color w:val="auto"/>
          <w:sz w:val="36"/>
          <w:szCs w:val="36"/>
          <w:highlight w:val="none"/>
        </w:rPr>
      </w:pPr>
      <w:r>
        <w:rPr>
          <w:rFonts w:hint="eastAsia" w:ascii="黑体" w:hAnsi="黑体" w:eastAsia="黑体"/>
          <w:b/>
          <w:color w:val="auto"/>
          <w:sz w:val="36"/>
          <w:szCs w:val="36"/>
          <w:highlight w:val="none"/>
        </w:rPr>
        <w:t>申请人须知</w:t>
      </w:r>
    </w:p>
    <w:p>
      <w:pPr>
        <w:pStyle w:val="19"/>
        <w:spacing w:before="0" w:beforeAutospacing="0" w:after="0" w:afterAutospacing="0" w:line="420" w:lineRule="atLeast"/>
        <w:ind w:firstLine="723" w:firstLineChars="200"/>
        <w:jc w:val="center"/>
        <w:rPr>
          <w:rFonts w:hint="eastAsia" w:ascii="黑体" w:hAnsi="黑体" w:eastAsia="黑体" w:cs="宋体"/>
          <w:b/>
          <w:color w:val="auto"/>
          <w:kern w:val="0"/>
          <w:sz w:val="36"/>
          <w:szCs w:val="36"/>
          <w:highlight w:val="none"/>
          <w:lang w:val="en-US" w:eastAsia="zh-CN" w:bidi="ar-SA"/>
        </w:rPr>
      </w:pPr>
      <w:r>
        <w:rPr>
          <w:rFonts w:hint="eastAsia" w:ascii="黑体" w:hAnsi="黑体" w:eastAsia="黑体" w:cs="宋体"/>
          <w:b/>
          <w:color w:val="auto"/>
          <w:kern w:val="0"/>
          <w:sz w:val="36"/>
          <w:szCs w:val="36"/>
          <w:highlight w:val="none"/>
          <w:lang w:val="en-US" w:eastAsia="zh-CN" w:bidi="ar-SA"/>
        </w:rPr>
        <w:t>第一章 项目标段划分及预计决算金额</w:t>
      </w:r>
    </w:p>
    <w:p>
      <w:pPr>
        <w:pStyle w:val="43"/>
        <w:spacing w:line="360" w:lineRule="auto"/>
        <w:jc w:val="both"/>
        <w:rPr>
          <w:rFonts w:hint="default" w:ascii="黑体" w:hAnsi="黑体" w:eastAsia="黑体" w:cs="宋体"/>
          <w:color w:val="auto"/>
          <w:kern w:val="0"/>
          <w:sz w:val="32"/>
          <w:szCs w:val="32"/>
          <w:highlight w:val="none"/>
          <w:lang w:val="en-US" w:eastAsia="zh-CN" w:bidi="ar-SA"/>
        </w:rPr>
      </w:pPr>
      <w:r>
        <w:rPr>
          <w:rFonts w:hint="eastAsia" w:ascii="黑体" w:hAnsi="黑体" w:eastAsia="黑体" w:cs="宋体"/>
          <w:color w:val="auto"/>
          <w:kern w:val="0"/>
          <w:sz w:val="32"/>
          <w:szCs w:val="32"/>
          <w:highlight w:val="none"/>
          <w:lang w:val="en-US" w:eastAsia="zh-CN" w:bidi="ar-SA"/>
        </w:rPr>
        <w:t>一、项目标段划分及预计决算金额</w:t>
      </w:r>
    </w:p>
    <w:tbl>
      <w:tblPr>
        <w:tblStyle w:val="21"/>
        <w:tblW w:w="4586" w:type="pct"/>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472"/>
        <w:gridCol w:w="1653"/>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21" w:type="pct"/>
            <w:tcBorders>
              <w:left w:val="single" w:color="auto" w:sz="4" w:space="0"/>
              <w:bottom w:val="single" w:color="auto" w:sz="4" w:space="0"/>
            </w:tcBorders>
            <w:noWrap w:val="0"/>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序号</w:t>
            </w:r>
          </w:p>
        </w:tc>
        <w:tc>
          <w:tcPr>
            <w:tcW w:w="2196" w:type="pct"/>
            <w:tcBorders>
              <w:bottom w:val="single" w:color="auto" w:sz="4" w:space="0"/>
            </w:tcBorders>
            <w:noWrap w:val="0"/>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项目名称</w:t>
            </w:r>
          </w:p>
        </w:tc>
        <w:tc>
          <w:tcPr>
            <w:tcW w:w="1045" w:type="pct"/>
            <w:tcBorders>
              <w:bottom w:val="single" w:color="auto" w:sz="4" w:space="0"/>
            </w:tcBorders>
            <w:noWrap w:val="0"/>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服务类型</w:t>
            </w:r>
          </w:p>
        </w:tc>
        <w:tc>
          <w:tcPr>
            <w:tcW w:w="1336" w:type="pct"/>
            <w:tcBorders>
              <w:bottom w:val="single" w:color="auto" w:sz="4" w:space="0"/>
            </w:tcBorders>
            <w:noWrap w:val="0"/>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预计决算金额（万元）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21" w:type="pct"/>
            <w:tcBorders>
              <w:top w:val="single" w:color="auto" w:sz="4" w:space="0"/>
              <w:left w:val="single" w:color="auto" w:sz="4" w:space="0"/>
              <w:bottom w:val="single" w:color="auto" w:sz="4" w:space="0"/>
            </w:tcBorders>
            <w:noWrap w:val="0"/>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p>
        </w:tc>
        <w:tc>
          <w:tcPr>
            <w:tcW w:w="2196" w:type="pct"/>
            <w:tcBorders>
              <w:top w:val="single" w:color="auto" w:sz="4" w:space="0"/>
              <w:bottom w:val="single" w:color="auto" w:sz="4" w:space="0"/>
            </w:tcBorders>
            <w:noWrap w:val="0"/>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一标段</w:t>
            </w:r>
          </w:p>
        </w:tc>
        <w:tc>
          <w:tcPr>
            <w:tcW w:w="1045" w:type="pct"/>
            <w:vMerge w:val="restart"/>
            <w:tcBorders>
              <w:top w:val="single" w:color="auto" w:sz="4" w:space="0"/>
            </w:tcBorders>
            <w:noWrap w:val="0"/>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工程竣工财务决算审计</w:t>
            </w:r>
          </w:p>
        </w:tc>
        <w:tc>
          <w:tcPr>
            <w:tcW w:w="1336" w:type="pct"/>
            <w:tcBorders>
              <w:top w:val="single" w:color="auto" w:sz="4" w:space="0"/>
              <w:bottom w:val="single" w:color="auto" w:sz="4" w:space="0"/>
            </w:tcBorders>
            <w:noWrap w:val="0"/>
            <w:vAlign w:val="top"/>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325318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w:t>
            </w:r>
          </w:p>
        </w:tc>
        <w:tc>
          <w:tcPr>
            <w:tcW w:w="2196" w:type="pct"/>
            <w:tcBorders>
              <w:top w:val="single" w:color="auto" w:sz="4" w:space="0"/>
              <w:bottom w:val="single" w:color="auto" w:sz="4" w:space="0"/>
            </w:tcBorders>
            <w:noWrap w:val="0"/>
            <w:vAlign w:val="top"/>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二标段</w:t>
            </w:r>
          </w:p>
        </w:tc>
        <w:tc>
          <w:tcPr>
            <w:tcW w:w="1045" w:type="pct"/>
            <w:vMerge w:val="continue"/>
            <w:noWrap w:val="0"/>
            <w:vAlign w:val="top"/>
          </w:tcPr>
          <w:p>
            <w:pPr>
              <w:spacing w:line="360" w:lineRule="auto"/>
              <w:jc w:val="center"/>
              <w:rPr>
                <w:rFonts w:hint="eastAsia" w:ascii="仿宋" w:hAnsi="仿宋" w:eastAsia="仿宋" w:cs="仿宋"/>
                <w:color w:val="auto"/>
                <w:kern w:val="2"/>
                <w:sz w:val="32"/>
                <w:szCs w:val="32"/>
                <w:highlight w:val="none"/>
                <w:lang w:val="en-US" w:eastAsia="zh-CN" w:bidi="ar-SA"/>
              </w:rPr>
            </w:pPr>
          </w:p>
        </w:tc>
        <w:tc>
          <w:tcPr>
            <w:tcW w:w="1336" w:type="pct"/>
            <w:tcBorders>
              <w:top w:val="single" w:color="auto" w:sz="4" w:space="0"/>
              <w:bottom w:val="single" w:color="auto" w:sz="4" w:space="0"/>
            </w:tcBorders>
            <w:noWrap w:val="0"/>
            <w:vAlign w:val="top"/>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tcBorders>
            <w:noWrap w:val="0"/>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w:t>
            </w:r>
          </w:p>
        </w:tc>
        <w:tc>
          <w:tcPr>
            <w:tcW w:w="2196" w:type="pct"/>
            <w:tcBorders>
              <w:top w:val="single" w:color="auto" w:sz="4" w:space="0"/>
            </w:tcBorders>
            <w:noWrap w:val="0"/>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三标段</w:t>
            </w:r>
          </w:p>
        </w:tc>
        <w:tc>
          <w:tcPr>
            <w:tcW w:w="1045" w:type="pct"/>
            <w:vMerge w:val="continue"/>
            <w:noWrap w:val="0"/>
            <w:vAlign w:val="top"/>
          </w:tcPr>
          <w:p>
            <w:pPr>
              <w:spacing w:line="360" w:lineRule="auto"/>
              <w:jc w:val="center"/>
              <w:rPr>
                <w:rFonts w:hint="eastAsia" w:ascii="仿宋" w:hAnsi="仿宋" w:eastAsia="仿宋" w:cs="仿宋"/>
                <w:color w:val="auto"/>
                <w:kern w:val="2"/>
                <w:sz w:val="32"/>
                <w:szCs w:val="32"/>
                <w:highlight w:val="none"/>
                <w:lang w:val="en-US" w:eastAsia="zh-CN" w:bidi="ar-SA"/>
              </w:rPr>
            </w:pPr>
          </w:p>
        </w:tc>
        <w:tc>
          <w:tcPr>
            <w:tcW w:w="1336" w:type="pct"/>
            <w:tcBorders>
              <w:top w:val="single" w:color="auto" w:sz="4" w:space="0"/>
            </w:tcBorders>
            <w:noWrap w:val="0"/>
            <w:vAlign w:val="top"/>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w:t>
            </w:r>
          </w:p>
        </w:tc>
      </w:tr>
    </w:tbl>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二、项目基本情况</w:t>
      </w:r>
    </w:p>
    <w:p>
      <w:pPr>
        <w:pStyle w:val="43"/>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G353线（原S310线）宁南杨家湾子至会东县城公路改建工程等21个公路建设项目竣工财务决算审计比选项目共分三个标段，一标段共八个项目预计决算金额325318万元，因项目部分要件正在办理过程中，竣工财务决算审计需分两步完成，第一在比选人提供审计资料后30日内出具初步审计报告，第二在比选人提供补充完善的要件资料后10日内出具正式报告。</w:t>
      </w:r>
    </w:p>
    <w:p>
      <w:pPr>
        <w:pStyle w:val="43"/>
        <w:keepNext w:val="0"/>
        <w:keepLines w:val="0"/>
        <w:pageBreakBefore/>
        <w:widowControl/>
        <w:kinsoku/>
        <w:wordWrap/>
        <w:overflowPunct/>
        <w:topLinePunct w:val="0"/>
        <w:autoSpaceDE/>
        <w:autoSpaceDN/>
        <w:bidi w:val="0"/>
        <w:adjustRightInd/>
        <w:snapToGrid/>
        <w:spacing w:line="360" w:lineRule="auto"/>
        <w:ind w:firstLine="2396" w:firstLineChars="663"/>
        <w:jc w:val="both"/>
        <w:textAlignment w:val="auto"/>
        <w:rPr>
          <w:rFonts w:hint="eastAsia" w:ascii="黑体" w:hAnsi="黑体" w:eastAsia="黑体" w:cs="宋体"/>
          <w:b/>
          <w:color w:val="auto"/>
          <w:kern w:val="0"/>
          <w:sz w:val="36"/>
          <w:szCs w:val="36"/>
          <w:highlight w:val="none"/>
          <w:lang w:val="en-US" w:eastAsia="zh-CN" w:bidi="ar-SA"/>
        </w:rPr>
      </w:pPr>
      <w:r>
        <w:rPr>
          <w:rFonts w:hint="eastAsia" w:ascii="黑体" w:hAnsi="黑体" w:eastAsia="黑体" w:cs="宋体"/>
          <w:b/>
          <w:color w:val="auto"/>
          <w:kern w:val="0"/>
          <w:sz w:val="36"/>
          <w:szCs w:val="36"/>
          <w:highlight w:val="none"/>
          <w:lang w:val="en-US" w:eastAsia="zh-CN" w:bidi="ar-SA"/>
        </w:rPr>
        <w:t>第二章 申请人</w:t>
      </w:r>
      <w:bookmarkStart w:id="28" w:name="_GoBack"/>
      <w:bookmarkEnd w:id="28"/>
      <w:r>
        <w:rPr>
          <w:rFonts w:hint="eastAsia" w:ascii="黑体" w:hAnsi="黑体" w:eastAsia="黑体" w:cs="宋体"/>
          <w:b/>
          <w:color w:val="auto"/>
          <w:kern w:val="0"/>
          <w:sz w:val="36"/>
          <w:szCs w:val="36"/>
          <w:highlight w:val="none"/>
          <w:lang w:val="en-US" w:eastAsia="zh-CN" w:bidi="ar-SA"/>
        </w:rPr>
        <w:t>资格要求</w:t>
      </w:r>
    </w:p>
    <w:p>
      <w:pPr>
        <w:pStyle w:val="19"/>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（一）具有独立的法人资格且并持有有效的营业执照；</w:t>
      </w:r>
    </w:p>
    <w:p>
      <w:pPr>
        <w:pStyle w:val="19"/>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（二）事务所须依法设立且执业5年（含）以上，具有财政部门颁发的准予执行注册会计师法定业务《执业证书》；</w:t>
      </w:r>
    </w:p>
    <w:p>
      <w:pPr>
        <w:pStyle w:val="19"/>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（三）拟任项目负责人应具有注册会计师资格（提供执业证书），且至少有5年以上的从业经验，须是比选申请人的在册人员；</w:t>
      </w:r>
    </w:p>
    <w:p>
      <w:pPr>
        <w:pStyle w:val="19"/>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（四）2020年1月1日年以来，至少完成过2个公路工程竣工财务决算审计业务；</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（五）2020年1月1日年以来，无违法、违规行为，未被国家相关主管部门给予没收违法所得、罚款、暂停执行部分或全部业务，未被吊销有关执业许可证或撤销会计师事务所等行政处罚，（提供承诺书格式自拟）；</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（六）本次比选不接受因比选申请人本单位原因，放弃过比选人单位的比选（或招标）项目或在比选人单位有不良记录的比选申请人比选。</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left"/>
        <w:textAlignment w:val="auto"/>
        <w:rPr>
          <w:rFonts w:hint="eastAsia" w:ascii="仿宋" w:hAnsi="仿宋" w:eastAsia="仿宋" w:cs="仿宋"/>
          <w:color w:val="auto"/>
          <w:sz w:val="44"/>
          <w:szCs w:val="44"/>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color w:val="auto"/>
          <w:kern w:val="2"/>
          <w:sz w:val="44"/>
          <w:szCs w:val="44"/>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color w:val="auto"/>
          <w:kern w:val="2"/>
          <w:sz w:val="44"/>
          <w:szCs w:val="44"/>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color w:val="auto"/>
          <w:kern w:val="2"/>
          <w:sz w:val="44"/>
          <w:szCs w:val="44"/>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color w:val="auto"/>
          <w:kern w:val="2"/>
          <w:sz w:val="44"/>
          <w:szCs w:val="44"/>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color w:val="auto"/>
          <w:kern w:val="2"/>
          <w:sz w:val="44"/>
          <w:szCs w:val="44"/>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color w:val="auto"/>
          <w:kern w:val="2"/>
          <w:sz w:val="44"/>
          <w:szCs w:val="44"/>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color w:val="auto"/>
          <w:kern w:val="2"/>
          <w:sz w:val="44"/>
          <w:szCs w:val="44"/>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color w:val="auto"/>
          <w:kern w:val="2"/>
          <w:sz w:val="44"/>
          <w:szCs w:val="44"/>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color w:val="auto"/>
          <w:kern w:val="2"/>
          <w:sz w:val="44"/>
          <w:szCs w:val="44"/>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r>
        <w:rPr>
          <w:rFonts w:hint="eastAsia" w:ascii="黑体" w:hAnsi="黑体" w:eastAsia="黑体" w:cs="宋体"/>
          <w:b/>
          <w:color w:val="auto"/>
          <w:kern w:val="0"/>
          <w:sz w:val="36"/>
          <w:szCs w:val="36"/>
          <w:highlight w:val="none"/>
          <w:lang w:val="en-US" w:eastAsia="zh-CN" w:bidi="ar-SA"/>
        </w:rPr>
        <w:t>第三章 比选议程</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（一）各参会人员到会并签到以证明出席情况。</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（二）主持人介绍到会监督人员，并核实比选被邀请单位是否到齐。</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（三）比选申请人按签到顺序递交法人授权书、被授权人身份证原件交监督人员验证核实。</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（四）比选申请人交叉检查比选申请文件的密封并签名确认。</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（五）由工作人员拆封，并宣读报价。</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（六）比选人对比选过程进行记录，并存档备查。</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ind w:firstLine="643" w:firstLineChars="200"/>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注：无论中选与否，比选申请文件概不退回。</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仿宋" w:hAnsi="仿宋" w:eastAsia="仿宋" w:cs="仿宋"/>
          <w:b/>
          <w:bCs/>
          <w:color w:val="auto"/>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仿宋" w:hAnsi="仿宋" w:eastAsia="仿宋" w:cs="仿宋"/>
          <w:b/>
          <w:bCs/>
          <w:color w:val="auto"/>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r>
        <w:rPr>
          <w:rFonts w:hint="eastAsia" w:ascii="黑体" w:hAnsi="黑体" w:eastAsia="黑体" w:cs="宋体"/>
          <w:b/>
          <w:color w:val="auto"/>
          <w:kern w:val="0"/>
          <w:sz w:val="36"/>
          <w:szCs w:val="36"/>
          <w:highlight w:val="none"/>
          <w:lang w:val="en-US" w:eastAsia="zh-CN" w:bidi="ar-SA"/>
        </w:rPr>
        <w:t>第四章 报价及规定</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一、报价说明</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（一）工程决算审计服务费最高限价为（分标段的表格）：</w:t>
      </w:r>
    </w:p>
    <w:tbl>
      <w:tblPr>
        <w:tblStyle w:val="22"/>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2791"/>
        <w:gridCol w:w="2225"/>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659"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序号</w:t>
            </w:r>
          </w:p>
        </w:tc>
        <w:tc>
          <w:tcPr>
            <w:tcW w:w="2791"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项目名称</w:t>
            </w:r>
          </w:p>
        </w:tc>
        <w:tc>
          <w:tcPr>
            <w:tcW w:w="2225"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预计决算金额</w:t>
            </w:r>
          </w:p>
        </w:tc>
        <w:tc>
          <w:tcPr>
            <w:tcW w:w="2225"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审计服务费最高限价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659"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1</w:t>
            </w:r>
          </w:p>
        </w:tc>
        <w:tc>
          <w:tcPr>
            <w:tcW w:w="2791" w:type="dxa"/>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一标段</w:t>
            </w:r>
          </w:p>
        </w:tc>
        <w:tc>
          <w:tcPr>
            <w:tcW w:w="2225" w:type="dxa"/>
            <w:vAlign w:val="top"/>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325318万元</w:t>
            </w:r>
          </w:p>
        </w:tc>
        <w:tc>
          <w:tcPr>
            <w:tcW w:w="2225"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347454元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659"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2</w:t>
            </w:r>
          </w:p>
        </w:tc>
        <w:tc>
          <w:tcPr>
            <w:tcW w:w="2791" w:type="dxa"/>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二标段</w:t>
            </w:r>
          </w:p>
        </w:tc>
        <w:tc>
          <w:tcPr>
            <w:tcW w:w="2225" w:type="dxa"/>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w:t>
            </w:r>
          </w:p>
        </w:tc>
        <w:tc>
          <w:tcPr>
            <w:tcW w:w="2225"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659"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3</w:t>
            </w:r>
          </w:p>
        </w:tc>
        <w:tc>
          <w:tcPr>
            <w:tcW w:w="2791" w:type="dxa"/>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三标段</w:t>
            </w:r>
          </w:p>
        </w:tc>
        <w:tc>
          <w:tcPr>
            <w:tcW w:w="2225" w:type="dxa"/>
            <w:vAlign w:val="top"/>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w:t>
            </w:r>
          </w:p>
        </w:tc>
        <w:tc>
          <w:tcPr>
            <w:tcW w:w="2225"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w:t>
            </w:r>
          </w:p>
        </w:tc>
      </w:tr>
    </w:tbl>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（二）比选申请人根据项目实际情况及企业自身经营状况，结合企业管理经验，在最高限价的基础上下浮一定比例报价，不得作上浮报价。</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比选申请人的报价应为完成本项目合同约定工作内容所发生的成本、利润、管理费、税金、风险费、延期补偿费等全部费用，包括但不限于比选申请人应承担的交通费、差旅费、食宿费、不可预见费等一切费用。</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（四）中选人所报价格将作为其与比选人签订本合同及进行费用结算的依据，若合同执行期内有新的政策指导文件出台，双方约定不再调整服务费。</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（五）代理服务费：支付金额：每一标段8000元，由中选人支付。</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color w:val="auto"/>
          <w:kern w:val="2"/>
          <w:sz w:val="32"/>
          <w:szCs w:val="32"/>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二、比选规定</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（一）无论比选结果如何，比选申请人的申请文件均不退还。比选人及比选申请人双方都应就比选和比选文件中的内容保密，违者将对后果承担责任；</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（二）比选人不对未中选情况作任何解释；</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（三）比选申请人应认真检查比选申请文件是否完整，若存在缺页或不全时，应及时向比选人提出，以便补齐。</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ind w:firstLine="880" w:firstLineChars="200"/>
        <w:textAlignment w:val="auto"/>
        <w:rPr>
          <w:rFonts w:hint="eastAsia" w:ascii="仿宋" w:hAnsi="仿宋" w:eastAsia="仿宋" w:cs="仿宋"/>
          <w:color w:val="auto"/>
          <w:sz w:val="44"/>
          <w:szCs w:val="44"/>
          <w:highlight w:val="none"/>
          <w:lang w:eastAsia="zh-CN"/>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both"/>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r>
        <w:rPr>
          <w:rFonts w:hint="eastAsia" w:ascii="黑体" w:hAnsi="黑体" w:eastAsia="黑体" w:cs="宋体"/>
          <w:b/>
          <w:color w:val="auto"/>
          <w:kern w:val="0"/>
          <w:sz w:val="36"/>
          <w:szCs w:val="36"/>
          <w:highlight w:val="none"/>
          <w:lang w:val="en-US" w:eastAsia="zh-CN" w:bidi="ar-SA"/>
        </w:rPr>
        <w:t>第五章 比选申请文件的编制</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（一）比选申请文件必须根据此《比选文件》编写，比选申请人应对比选文件做出实质性响应，承诺履行比选方案中的各项规定和要求，否则无效。</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sz w:val="44"/>
          <w:szCs w:val="44"/>
          <w:highlight w:val="none"/>
        </w:rPr>
      </w:pPr>
      <w:r>
        <w:rPr>
          <w:rFonts w:hint="eastAsia" w:ascii="仿宋" w:hAnsi="仿宋" w:eastAsia="仿宋" w:cs="仿宋"/>
          <w:color w:val="auto"/>
          <w:kern w:val="2"/>
          <w:sz w:val="32"/>
          <w:szCs w:val="32"/>
          <w:highlight w:val="none"/>
          <w:lang w:val="en-US" w:eastAsia="zh-CN" w:bidi="ar-SA"/>
        </w:rPr>
        <w:t>（二）比选申请文件应按规定格式书写或打印，并加盖单位印章。</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一、比选申请文件准备</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比选申请人应根据比选文件的规定提交比选申请文件，比选申请文件必须符合比选文件的各项内容，并提供相应的证明文件。比选申请文件如下：</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（一）比选申请函（见附件一）；</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（二）法定代表人身份证明（见附件二）；</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（三）授权委托书（见附件三）；</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（四）申请人单位基本情况（见附件四）；</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（五）拟从事本项目审计人员（见附件五）；</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（六）近3年（2020年1月1日以来）业绩证明文件（见附件六）；</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七）近3年（2020年1月1日以来）比选申请人及项目负责人无违法、违规行为，未被国家相关主管部门给予没收违法所得、罚款、暂停执行部分或全部业务，未被吊销有关执业许可证或撤销会计师事务所等行政处罚的承诺函（格式自拟）；</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（八）本项目审计服务及实施方案；</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44"/>
          <w:szCs w:val="44"/>
          <w:highlight w:val="none"/>
        </w:rPr>
      </w:pPr>
      <w:bookmarkStart w:id="1" w:name="_Toc234833291"/>
      <w:bookmarkStart w:id="2" w:name="_Toc501257510"/>
      <w:r>
        <w:rPr>
          <w:rFonts w:hint="eastAsia" w:ascii="仿宋" w:hAnsi="仿宋" w:eastAsia="仿宋" w:cs="仿宋"/>
          <w:color w:val="auto"/>
          <w:kern w:val="2"/>
          <w:sz w:val="32"/>
          <w:szCs w:val="32"/>
          <w:highlight w:val="none"/>
          <w:lang w:val="en-US" w:eastAsia="zh-CN" w:bidi="ar-SA"/>
        </w:rPr>
        <w:t>（九）其他</w:t>
      </w:r>
      <w:bookmarkEnd w:id="1"/>
      <w:r>
        <w:rPr>
          <w:rFonts w:hint="eastAsia" w:ascii="仿宋" w:hAnsi="仿宋" w:eastAsia="仿宋" w:cs="仿宋"/>
          <w:color w:val="auto"/>
          <w:kern w:val="2"/>
          <w:sz w:val="32"/>
          <w:szCs w:val="32"/>
          <w:highlight w:val="none"/>
          <w:lang w:val="en-US" w:eastAsia="zh-CN" w:bidi="ar-SA"/>
        </w:rPr>
        <w:t>资料</w:t>
      </w:r>
      <w:bookmarkEnd w:id="2"/>
      <w:r>
        <w:rPr>
          <w:rFonts w:hint="eastAsia" w:ascii="仿宋" w:hAnsi="仿宋" w:eastAsia="仿宋" w:cs="仿宋"/>
          <w:color w:val="auto"/>
          <w:kern w:val="2"/>
          <w:sz w:val="32"/>
          <w:szCs w:val="32"/>
          <w:highlight w:val="none"/>
          <w:lang w:val="en-US" w:eastAsia="zh-CN" w:bidi="ar-SA"/>
        </w:rPr>
        <w:t>（如有）。</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二、比选申请文件要求</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（一）申请人的比选文件应用中文编制；</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（二）比选申请文件应用不褪色的墨水书写或打印、复印，并由比选申请人的法定代表人或法定代表人授权委托人签字或盖章；</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（三）除比选申请人对错误处必须修改外，比选申请文件应无涂改或行间插字或增删。如有修改，修改处应由法定代表人或法定代表人授权委托人签字并加盖比选申请人公章；</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比选文件要求按规定格式和内容填报，份数为正本一份、副本一份，应在封面注明“正本”或“副本”字样，当正副本不一致时以正本为准。所有比选申请文件应密封完好，封口处应加盖单位公章或法定代表人印章。外包装上还应写明：</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1.所投项目名称；</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2.比选申请人名称、地址；</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3.“在    年   月    日北京时间   前不得拆封”字样。</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逾期送达的、未送达指定地点的或不按照比选文件要求密封的比选申请文件，比选人将予以拒收.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amp;quot" w:eastAsia="仿宋_GB2312"/>
          <w:color w:val="auto"/>
          <w:sz w:val="44"/>
          <w:szCs w:val="44"/>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宋体"/>
          <w:b/>
          <w:color w:val="auto"/>
          <w:kern w:val="0"/>
          <w:sz w:val="36"/>
          <w:szCs w:val="36"/>
          <w:highlight w:val="none"/>
          <w:lang w:val="en-US" w:eastAsia="zh-CN" w:bidi="ar-SA"/>
        </w:rPr>
      </w:pPr>
    </w:p>
    <w:p>
      <w:pPr>
        <w:keepNext w:val="0"/>
        <w:keepLines w:val="0"/>
        <w:pageBreakBefore/>
        <w:widowControl w:val="0"/>
        <w:kinsoku/>
        <w:wordWrap/>
        <w:overflowPunct/>
        <w:topLinePunct w:val="0"/>
        <w:autoSpaceDE/>
        <w:autoSpaceDN/>
        <w:bidi w:val="0"/>
        <w:adjustRightInd/>
        <w:snapToGrid/>
        <w:spacing w:line="500" w:lineRule="exac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r>
        <w:rPr>
          <w:rFonts w:hint="eastAsia" w:ascii="黑体" w:hAnsi="黑体" w:eastAsia="黑体" w:cs="宋体"/>
          <w:b/>
          <w:color w:val="auto"/>
          <w:kern w:val="0"/>
          <w:sz w:val="36"/>
          <w:szCs w:val="36"/>
          <w:highlight w:val="none"/>
          <w:lang w:val="en-US" w:eastAsia="zh-CN" w:bidi="ar-SA"/>
        </w:rPr>
        <w:t>第六章 比选申请文件的递交</w:t>
      </w:r>
    </w:p>
    <w:p>
      <w:pPr>
        <w:pStyle w:val="10"/>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（一）所有比选申请文件应密封完好（密封方式不限），封口处应加盖单位公章或法定代表人印章。外包装上还应写明：</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1.比选项目名称；</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2.比选申请人名称、地址；</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3.“在   年  月   日北京时间上午   前不得拆封”字样。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（二）比选人不接受逾期送达的、未送达指定地点的或不按照比选文件要求密封的比选申请文件；</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（三）比选人按比选文件规定的时间和地点公开比选，邀请所有比选申请人参加。参会的比选申请人代表应签名报到，以证明其出席比选会议；</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（四）递交比选申请文件后，如果比选申请人提出书面修改或撤回要求，在比选截止时间前送达比选人的，比选人将予以接受；在比选截止时间后，比选申请人不得对其申请文件做修改或要求撤回；</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比选申请人按比选文件规定递交了比选申请书，不参加比选会或在比选会中途退场的，视为认可比选程序，事后不应再对比选程序提出质疑或异议。比选人不会因比选申请人不参加比选会或中途退场而否决其参选。</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（六）比选申请文件在本比选文件规定的比选截止之日起30个日历天内有效。</w:t>
      </w:r>
    </w:p>
    <w:p>
      <w:pPr>
        <w:pStyle w:val="10"/>
        <w:rPr>
          <w:rFonts w:hint="eastAsia"/>
          <w:color w:val="auto"/>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宋体"/>
          <w:b/>
          <w:color w:val="auto"/>
          <w:kern w:val="0"/>
          <w:sz w:val="36"/>
          <w:szCs w:val="36"/>
          <w:highlight w:val="none"/>
          <w:lang w:val="en-US" w:eastAsia="zh-CN" w:bidi="ar-SA"/>
        </w:rPr>
      </w:pPr>
    </w:p>
    <w:p>
      <w:pPr>
        <w:keepNext w:val="0"/>
        <w:keepLines w:val="0"/>
        <w:pageBreakBefore/>
        <w:widowControl w:val="0"/>
        <w:kinsoku/>
        <w:wordWrap/>
        <w:overflowPunct/>
        <w:topLinePunct w:val="0"/>
        <w:autoSpaceDE/>
        <w:autoSpaceDN/>
        <w:bidi w:val="0"/>
        <w:adjustRightInd/>
        <w:snapToGrid/>
        <w:spacing w:line="500" w:lineRule="exac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r>
        <w:rPr>
          <w:rFonts w:hint="eastAsia" w:ascii="黑体" w:hAnsi="黑体" w:eastAsia="黑体" w:cs="宋体"/>
          <w:b/>
          <w:color w:val="auto"/>
          <w:kern w:val="0"/>
          <w:sz w:val="36"/>
          <w:szCs w:val="36"/>
          <w:highlight w:val="none"/>
          <w:lang w:val="en-US" w:eastAsia="zh-CN" w:bidi="ar-SA"/>
        </w:rPr>
        <w:t>第七章 评审办法与标准</w:t>
      </w:r>
    </w:p>
    <w:p>
      <w:pPr>
        <w:pStyle w:val="19"/>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883" w:firstLineChars="200"/>
        <w:textAlignment w:val="auto"/>
        <w:rPr>
          <w:rFonts w:hint="eastAsia" w:ascii="仿宋" w:hAnsi="仿宋" w:eastAsia="仿宋" w:cs="仿宋"/>
          <w:b/>
          <w:bCs/>
          <w:color w:val="auto"/>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一、总则</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（一）比选活动遵循公平、公正、科学、择优的原则；</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（二）比选会由比选人自行组织；</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（三）评审方法：综合评分法。</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二、评审小组</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（一）本项目的评审小组由比选人按照相关规定随机抽取，5人组成；</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（二）评审小组成员应当客观、公正地履行职责，遵守职业道德，对所提出的评审意见承担个人责任；</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（三）比选程序：初步评审---资格评审---量化评分并排名---编写评标报告；</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（四）在评审过程中，凡未通过上一比选程序的比选申请文件，不再进入后续的评审程序。</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三、初步评审</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（一）初步评审主要对各比选申请文件是否在实质上响应了比选文件要求进行评审；</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（二）初步评审标准</w:t>
      </w:r>
    </w:p>
    <w:tbl>
      <w:tblPr>
        <w:tblStyle w:val="2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599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5" w:type="dxa"/>
            <w:tcBorders>
              <w:top w:val="single" w:color="auto" w:sz="12" w:space="0"/>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序号</w:t>
            </w:r>
          </w:p>
        </w:tc>
        <w:tc>
          <w:tcPr>
            <w:tcW w:w="5993" w:type="dxa"/>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3" w:firstLineChars="200"/>
              <w:jc w:val="center"/>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评审因素与评审标准</w:t>
            </w:r>
          </w:p>
        </w:tc>
        <w:tc>
          <w:tcPr>
            <w:tcW w:w="1900" w:type="dxa"/>
            <w:tcBorders>
              <w:top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是否通过（是或否）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215" w:type="dxa"/>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p>
        </w:tc>
        <w:tc>
          <w:tcPr>
            <w:tcW w:w="5993"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比选申请文件签字或盖章符合比选文件要求</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15" w:type="dxa"/>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w:t>
            </w:r>
          </w:p>
        </w:tc>
        <w:tc>
          <w:tcPr>
            <w:tcW w:w="5993" w:type="dxa"/>
            <w:vAlign w:val="center"/>
          </w:tcPr>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符合国家有关法规、文件和标准的要求</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15" w:type="dxa"/>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w:t>
            </w:r>
          </w:p>
        </w:tc>
        <w:tc>
          <w:tcPr>
            <w:tcW w:w="5993"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比选申请文件按照比选文件规定的格式、内容填写，字迹清晰可辨</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15" w:type="dxa"/>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w:t>
            </w:r>
          </w:p>
        </w:tc>
        <w:tc>
          <w:tcPr>
            <w:tcW w:w="5993"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比选申请人的报价符合比选文件的规定</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15" w:type="dxa"/>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w:t>
            </w:r>
          </w:p>
        </w:tc>
        <w:tc>
          <w:tcPr>
            <w:tcW w:w="5993"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比选申请文件未附有比选人不能接受的条件</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15" w:type="dxa"/>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w:t>
            </w:r>
          </w:p>
        </w:tc>
        <w:tc>
          <w:tcPr>
            <w:tcW w:w="5993"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对比选文件的实质性要求和条件作出响应</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结论（应填写“通过”或“不通过”）</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宋体"/>
          <w:color w:val="auto"/>
          <w:kern w:val="0"/>
          <w:sz w:val="32"/>
          <w:szCs w:val="32"/>
          <w:highlight w:val="none"/>
          <w:lang w:val="en-US" w:eastAsia="zh-CN" w:bidi="ar-SA"/>
        </w:rPr>
      </w:pPr>
      <w:r>
        <w:rPr>
          <w:rFonts w:hint="eastAsia" w:ascii="黑体" w:hAnsi="黑体" w:eastAsia="黑体" w:cs="宋体"/>
          <w:color w:val="auto"/>
          <w:kern w:val="0"/>
          <w:sz w:val="32"/>
          <w:szCs w:val="32"/>
          <w:highlight w:val="none"/>
          <w:lang w:val="en-US" w:eastAsia="zh-CN" w:bidi="ar-SA"/>
        </w:rPr>
        <w:t>四、资格评审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评审小组对通过初步评审的比选申请文件进行资格评审，资格评审实行强制性合格条件标准（见下表），凡有一项不合格则不能通过，资格审查未通过的不再进入下一步评审。</w:t>
      </w:r>
    </w:p>
    <w:tbl>
      <w:tblPr>
        <w:tblStyle w:val="21"/>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6443"/>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序号</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评审因素与评审标准</w:t>
            </w:r>
          </w:p>
        </w:tc>
        <w:tc>
          <w:tcPr>
            <w:tcW w:w="19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是否通过（是或否）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具有独立的法人资格且并持有有效的营业执照。</w:t>
            </w:r>
          </w:p>
        </w:tc>
        <w:tc>
          <w:tcPr>
            <w:tcW w:w="1920" w:type="dxa"/>
            <w:tcMar>
              <w:top w:w="15" w:type="dxa"/>
              <w:left w:w="15" w:type="dxa"/>
              <w:bottom w:w="0" w:type="dxa"/>
              <w:right w:w="15" w:type="dxa"/>
            </w:tcMar>
            <w:vAlign w:val="center"/>
          </w:tcPr>
          <w:p>
            <w:pPr>
              <w:jc w:val="center"/>
              <w:rPr>
                <w:rFonts w:ascii="仿宋" w:hAnsi="仿宋" w:eastAsia="仿宋" w:cs="Arial"/>
                <w:color w:val="auto"/>
                <w:sz w:val="44"/>
                <w:szCs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事务所须依法设立且执业5年（含）以上，具有财政部门颁发的准予执行注册会计师法定业务《执业证书》。</w:t>
            </w:r>
          </w:p>
        </w:tc>
        <w:tc>
          <w:tcPr>
            <w:tcW w:w="1920" w:type="dxa"/>
            <w:tcMar>
              <w:top w:w="15" w:type="dxa"/>
              <w:left w:w="15" w:type="dxa"/>
              <w:bottom w:w="0" w:type="dxa"/>
              <w:right w:w="15" w:type="dxa"/>
            </w:tcMar>
            <w:vAlign w:val="center"/>
          </w:tcPr>
          <w:p>
            <w:pPr>
              <w:jc w:val="center"/>
              <w:rPr>
                <w:rFonts w:ascii="仿宋" w:hAnsi="仿宋" w:eastAsia="仿宋" w:cs="Arial"/>
                <w:color w:val="auto"/>
                <w:sz w:val="44"/>
                <w:szCs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拟任项目负责人应具有注册会计师资格（提供执业证书），且至少有5年以上的从业经验，须是比选申请人的在册人员，提供社保。</w:t>
            </w:r>
          </w:p>
        </w:tc>
        <w:tc>
          <w:tcPr>
            <w:tcW w:w="1920" w:type="dxa"/>
            <w:tcMar>
              <w:top w:w="15" w:type="dxa"/>
              <w:left w:w="15" w:type="dxa"/>
              <w:bottom w:w="0" w:type="dxa"/>
              <w:right w:w="15" w:type="dxa"/>
            </w:tcMar>
            <w:vAlign w:val="center"/>
          </w:tcPr>
          <w:p>
            <w:pPr>
              <w:jc w:val="center"/>
              <w:rPr>
                <w:rFonts w:ascii="仿宋" w:hAnsi="仿宋" w:eastAsia="仿宋" w:cs="Arial"/>
                <w:color w:val="auto"/>
                <w:sz w:val="44"/>
                <w:szCs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2020年1月1日以来，至少完成过2个公路工程竣工财务决算审计业务。</w:t>
            </w:r>
          </w:p>
        </w:tc>
        <w:tc>
          <w:tcPr>
            <w:tcW w:w="1920" w:type="dxa"/>
            <w:tcMar>
              <w:top w:w="15" w:type="dxa"/>
              <w:left w:w="15" w:type="dxa"/>
              <w:bottom w:w="0" w:type="dxa"/>
              <w:right w:w="15" w:type="dxa"/>
            </w:tcMar>
            <w:vAlign w:val="center"/>
          </w:tcPr>
          <w:p>
            <w:pPr>
              <w:jc w:val="center"/>
              <w:rPr>
                <w:rFonts w:ascii="仿宋" w:hAnsi="仿宋" w:eastAsia="仿宋" w:cs="Arial"/>
                <w:color w:val="auto"/>
                <w:sz w:val="44"/>
                <w:szCs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2020年1月1日以来，没有因违法、违规行为，未被国家相关主管部门给予没收违法所得、罚款、暂停执行部分或全部业务，未被吊销有关执业许可证和撤销会计师事务所等行政处罚（提供承诺，格式自拟）</w:t>
            </w:r>
          </w:p>
        </w:tc>
        <w:tc>
          <w:tcPr>
            <w:tcW w:w="1920" w:type="dxa"/>
            <w:tcMar>
              <w:top w:w="15" w:type="dxa"/>
              <w:left w:w="15" w:type="dxa"/>
              <w:bottom w:w="0" w:type="dxa"/>
              <w:right w:w="15" w:type="dxa"/>
            </w:tcMar>
            <w:vAlign w:val="center"/>
          </w:tcPr>
          <w:p>
            <w:pPr>
              <w:jc w:val="center"/>
              <w:rPr>
                <w:rFonts w:ascii="仿宋" w:hAnsi="仿宋" w:eastAsia="仿宋" w:cs="Arial"/>
                <w:color w:val="auto"/>
                <w:sz w:val="44"/>
                <w:szCs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2020年1月1日以来，没有因审计质量等问题被国家相关主管部门予以处罚，并在承担审计过程中没有出现重大审计质量问题和不良记录（提供承诺，格式自拟）。</w:t>
            </w:r>
          </w:p>
        </w:tc>
        <w:tc>
          <w:tcPr>
            <w:tcW w:w="1920" w:type="dxa"/>
            <w:tcMar>
              <w:top w:w="15" w:type="dxa"/>
              <w:left w:w="15" w:type="dxa"/>
              <w:bottom w:w="0" w:type="dxa"/>
              <w:right w:w="15" w:type="dxa"/>
            </w:tcMar>
            <w:vAlign w:val="center"/>
          </w:tcPr>
          <w:p>
            <w:pPr>
              <w:jc w:val="center"/>
              <w:rPr>
                <w:rFonts w:ascii="仿宋" w:hAnsi="仿宋" w:eastAsia="仿宋" w:cs="Arial"/>
                <w:color w:val="auto"/>
                <w:sz w:val="44"/>
                <w:szCs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结论（应填写“通过”或“不通过”）</w:t>
            </w:r>
          </w:p>
        </w:tc>
        <w:tc>
          <w:tcPr>
            <w:tcW w:w="1920" w:type="dxa"/>
            <w:tcMar>
              <w:top w:w="15" w:type="dxa"/>
              <w:left w:w="15" w:type="dxa"/>
              <w:bottom w:w="0" w:type="dxa"/>
              <w:right w:w="15" w:type="dxa"/>
            </w:tcMar>
            <w:vAlign w:val="center"/>
          </w:tcPr>
          <w:p>
            <w:pPr>
              <w:jc w:val="center"/>
              <w:rPr>
                <w:rFonts w:ascii="仿宋" w:hAnsi="仿宋" w:eastAsia="仿宋" w:cs="Arial"/>
                <w:color w:val="auto"/>
                <w:sz w:val="44"/>
                <w:szCs w:val="44"/>
                <w:highlight w:val="none"/>
              </w:rPr>
            </w:pPr>
          </w:p>
        </w:tc>
      </w:tr>
    </w:tbl>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宋体"/>
          <w:color w:val="auto"/>
          <w:kern w:val="0"/>
          <w:sz w:val="32"/>
          <w:szCs w:val="32"/>
          <w:highlight w:val="none"/>
          <w:lang w:val="en-US" w:eastAsia="zh-CN" w:bidi="ar-SA"/>
        </w:rPr>
      </w:pPr>
      <w:r>
        <w:rPr>
          <w:rFonts w:hint="eastAsia" w:ascii="黑体" w:hAnsi="黑体" w:eastAsia="黑体" w:cs="宋体"/>
          <w:color w:val="auto"/>
          <w:kern w:val="0"/>
          <w:sz w:val="32"/>
          <w:szCs w:val="32"/>
          <w:highlight w:val="none"/>
          <w:lang w:val="en-US" w:eastAsia="zh-CN" w:bidi="ar-SA"/>
        </w:rPr>
        <w:t>五、量化评分并推荐中选候选人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（一）评审小组将对通过的比选申请人按以下评分标准进行量化评分，按综合得分由高到低进行排序，并推荐得分最高的申请人为中选人，若并列由比选人随机确定中选人。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（二）编制评审报告，评审报告由评审委员会全体成员签字。</w:t>
      </w:r>
    </w:p>
    <w:tbl>
      <w:tblPr>
        <w:tblStyle w:val="21"/>
        <w:tblW w:w="9691"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863"/>
        <w:gridCol w:w="829"/>
        <w:gridCol w:w="699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3" w:hRule="atLeast"/>
          <w:jc w:val="center"/>
        </w:trPr>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评分因素</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分值</w:t>
            </w:r>
          </w:p>
        </w:tc>
        <w:tc>
          <w:tcPr>
            <w:tcW w:w="6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74"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1.报价</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50分</w:t>
            </w:r>
          </w:p>
        </w:tc>
        <w:tc>
          <w:tcPr>
            <w:tcW w:w="6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所有有效比选申请人最低报价为基准价，</w:t>
            </w:r>
            <w:r>
              <w:rPr>
                <w:rFonts w:hint="eastAsia" w:ascii="仿宋" w:hAnsi="仿宋" w:eastAsia="仿宋" w:cs="仿宋"/>
                <w:color w:val="auto"/>
                <w:kern w:val="2"/>
                <w:sz w:val="32"/>
                <w:szCs w:val="32"/>
                <w:highlight w:val="none"/>
                <w:lang w:val="en-US" w:eastAsia="zh-CN" w:bidi="ar-SA"/>
              </w:rPr>
              <w:t>下浮率等于评标基准费率得50分，每高于基准价1%扣1.0分，扣完为止。（保留2位小数，如：1.02%）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40"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2.人员配备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p>
        </w:tc>
        <w:tc>
          <w:tcPr>
            <w:tcW w:w="8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30分</w:t>
            </w:r>
          </w:p>
        </w:tc>
        <w:tc>
          <w:tcPr>
            <w:tcW w:w="699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1.项目负责人满足第二章第（三）款得9分。每增加1年加2分，此项最多得15分。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2.本项目的审计人员每增加1名注册会计师的得5分，此项最多得15分。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03"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3.业绩</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p>
        </w:tc>
        <w:tc>
          <w:tcPr>
            <w:tcW w:w="8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15分</w:t>
            </w:r>
          </w:p>
        </w:tc>
        <w:tc>
          <w:tcPr>
            <w:tcW w:w="699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2020年1月1日以来，完成过2个公路工程竣工财务决算审计业务得12分，增加1个公路工程竣工财务决算审计项目3分，最多得15分。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53" w:hRule="atLeast"/>
          <w:jc w:val="center"/>
        </w:trPr>
        <w:tc>
          <w:tcPr>
            <w:tcW w:w="186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4.服务方案</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5分</w:t>
            </w:r>
          </w:p>
        </w:tc>
        <w:tc>
          <w:tcPr>
            <w:tcW w:w="6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8"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4.1对项目的理解和总体思路 </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1分</w:t>
            </w:r>
          </w:p>
        </w:tc>
        <w:tc>
          <w:tcPr>
            <w:tcW w:w="6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全面得1分，一般得0.8分，没有的不得分。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9"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4.2质量保证措施情况</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1分</w:t>
            </w:r>
          </w:p>
        </w:tc>
        <w:tc>
          <w:tcPr>
            <w:tcW w:w="6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保证措施健全、可行的得1分，一般的得0.8分，没有的不得分。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9"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4.3沟通畅通情况</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1分</w:t>
            </w:r>
          </w:p>
        </w:tc>
        <w:tc>
          <w:tcPr>
            <w:tcW w:w="6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较为完善的得1分，一般的得0.8分，没有的不得分。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9" w:hRule="atLeast"/>
          <w:jc w:val="center"/>
        </w:trPr>
        <w:tc>
          <w:tcPr>
            <w:tcW w:w="186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4.4时间保证情况</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1分</w:t>
            </w:r>
          </w:p>
        </w:tc>
        <w:tc>
          <w:tcPr>
            <w:tcW w:w="6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满足时间要求得1分，不满足不得分。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9"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4.5工作建议及承诺</w:t>
            </w:r>
          </w:p>
        </w:tc>
        <w:tc>
          <w:tcPr>
            <w:tcW w:w="8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1分</w:t>
            </w:r>
          </w:p>
        </w:tc>
        <w:tc>
          <w:tcPr>
            <w:tcW w:w="699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工作建议可行的得1分，一般的得0.8分，没有的不得分。</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kern w:val="0"/>
          <w:sz w:val="32"/>
          <w:szCs w:val="32"/>
          <w:highlight w:val="none"/>
          <w:lang w:val="en-US" w:eastAsia="zh-CN" w:bidi="ar-SA"/>
        </w:rPr>
      </w:pPr>
      <w:r>
        <w:rPr>
          <w:rFonts w:hint="eastAsia" w:ascii="黑体" w:hAnsi="黑体" w:eastAsia="黑体" w:cs="宋体"/>
          <w:color w:val="auto"/>
          <w:kern w:val="0"/>
          <w:sz w:val="32"/>
          <w:szCs w:val="32"/>
          <w:highlight w:val="none"/>
          <w:lang w:val="en-US" w:eastAsia="zh-CN" w:bidi="ar-SA"/>
        </w:rPr>
        <w:t>中选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（一）评审结束后，公示网站为：凉山州国有交通投资发展集团有限责任公司网站（网址http://lsjtjt.cn/ ），公示期限：3个工作日。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（二）在公示期结束后，比选人按照最终的排序确定中选人，并向中选人发出中选通知书，中选通知书中将写明中选人在比选申请函中承诺的报价等内容。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（三）中选通知书是合同文件的组成部分。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44"/>
          <w:szCs w:val="44"/>
          <w:highlight w:val="none"/>
        </w:rPr>
      </w:pPr>
      <w:r>
        <w:rPr>
          <w:rFonts w:hint="eastAsia" w:ascii="仿宋" w:hAnsi="仿宋" w:eastAsia="仿宋" w:cs="仿宋"/>
          <w:color w:val="auto"/>
          <w:kern w:val="2"/>
          <w:sz w:val="32"/>
          <w:szCs w:val="32"/>
          <w:highlight w:val="none"/>
          <w:lang w:val="en-US" w:eastAsia="zh-CN" w:bidi="ar-SA"/>
        </w:rPr>
        <w:t>（四）比选人对未中选的比选申请人不作未中选原因的解释。</w:t>
      </w:r>
    </w:p>
    <w:p>
      <w:pPr>
        <w:spacing w:line="420" w:lineRule="atLeast"/>
        <w:rPr>
          <w:rFonts w:hint="eastAsia" w:ascii="黑体" w:hAnsi="黑体" w:eastAsia="黑体" w:cs="宋体"/>
          <w:color w:val="auto"/>
          <w:kern w:val="0"/>
          <w:sz w:val="32"/>
          <w:szCs w:val="32"/>
          <w:highlight w:val="none"/>
          <w:lang w:val="en-US" w:eastAsia="zh-CN" w:bidi="ar-SA"/>
        </w:rPr>
      </w:pPr>
      <w:r>
        <w:rPr>
          <w:rFonts w:hint="eastAsia" w:ascii="黑体" w:hAnsi="黑体" w:eastAsia="黑体" w:cs="宋体"/>
          <w:color w:val="auto"/>
          <w:kern w:val="0"/>
          <w:sz w:val="32"/>
          <w:szCs w:val="32"/>
          <w:highlight w:val="none"/>
          <w:lang w:val="en-US" w:eastAsia="zh-CN" w:bidi="ar-SA"/>
        </w:rPr>
        <w:t>七、合同协议书的签署</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（一）中选人应于收到中选通知书之日起5个工作日内，由法定代表人或其授权人与甲方签定合同。合同经双方法定代表人或其授权人签署并加盖公章后生效。</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（二）比选人和中选人在签订合同协议书的同时，须按照本比选文件规定的格式和要求签订廉政合同，明确双方在廉政建设方面的权利和义务以及应承担的违约责任。</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签订合同之时，中选人应向比选人现金缴纳合同价10%的廉政和履约保证金。在审计过程中，如出现不廉洁行为或审计质量问题，所缴保证金全额冲销收缴；履行合同期间无违反廉洁行为，且完成全部工作，中选人在合同期满5个工作日后一次性全额申请无息退还廉政和履约保证金。</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44"/>
          <w:szCs w:val="44"/>
          <w:highlight w:val="none"/>
        </w:rPr>
      </w:pPr>
      <w:r>
        <w:rPr>
          <w:rFonts w:hint="eastAsia" w:ascii="仿宋" w:hAnsi="仿宋" w:eastAsia="仿宋" w:cs="仿宋"/>
          <w:color w:val="auto"/>
          <w:kern w:val="2"/>
          <w:sz w:val="32"/>
          <w:szCs w:val="32"/>
          <w:highlight w:val="none"/>
          <w:lang w:val="en-US" w:eastAsia="zh-CN" w:bidi="ar-SA"/>
        </w:rPr>
        <w:t>（四）在合同实施期限内中选人若更换负责人的，必须事先取得比选人书面批准，更换后的人员应为本单位人员，且不得低于原投标申请承诺人员所具有的资格和条件。</w:t>
      </w:r>
    </w:p>
    <w:p>
      <w:pPr>
        <w:spacing w:line="420" w:lineRule="atLeast"/>
        <w:rPr>
          <w:rFonts w:hint="eastAsia" w:ascii="黑体" w:hAnsi="黑体" w:eastAsia="黑体" w:cs="宋体"/>
          <w:color w:val="auto"/>
          <w:kern w:val="0"/>
          <w:sz w:val="32"/>
          <w:szCs w:val="32"/>
          <w:highlight w:val="none"/>
          <w:lang w:val="en-US" w:eastAsia="zh-CN" w:bidi="ar-SA"/>
        </w:rPr>
      </w:pPr>
      <w:r>
        <w:rPr>
          <w:rFonts w:hint="eastAsia" w:ascii="黑体" w:hAnsi="黑体" w:eastAsia="黑体" w:cs="宋体"/>
          <w:color w:val="auto"/>
          <w:kern w:val="0"/>
          <w:sz w:val="32"/>
          <w:szCs w:val="32"/>
          <w:highlight w:val="none"/>
          <w:lang w:val="en-US" w:eastAsia="zh-CN" w:bidi="ar-SA"/>
        </w:rPr>
        <w:t>八、比选人的权利</w:t>
      </w:r>
    </w:p>
    <w:p>
      <w:pPr>
        <w:keepNext w:val="0"/>
        <w:keepLines w:val="0"/>
        <w:pageBreakBefore w:val="0"/>
        <w:widowControl w:val="0"/>
        <w:kinsoku/>
        <w:wordWrap/>
        <w:overflowPunct/>
        <w:topLinePunct w:val="0"/>
        <w:autoSpaceDE/>
        <w:autoSpaceDN/>
        <w:bidi w:val="0"/>
        <w:adjustRightInd/>
        <w:snapToGrid/>
        <w:spacing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（一）比选人保留在授予中选通知书前的任何时候取消本次比选活动以及拒绝所有的比选申请文件的权利，且无须向受影响的比选申请人解释有关原因；</w:t>
      </w:r>
    </w:p>
    <w:p>
      <w:pPr>
        <w:keepNext w:val="0"/>
        <w:keepLines w:val="0"/>
        <w:pageBreakBefore w:val="0"/>
        <w:widowControl w:val="0"/>
        <w:kinsoku/>
        <w:wordWrap/>
        <w:overflowPunct/>
        <w:topLinePunct w:val="0"/>
        <w:autoSpaceDE/>
        <w:autoSpaceDN/>
        <w:bidi w:val="0"/>
        <w:adjustRightInd/>
        <w:snapToGrid/>
        <w:spacing w:line="579" w:lineRule="atLeast"/>
        <w:textAlignment w:val="auto"/>
        <w:rPr>
          <w:rFonts w:hint="eastAsia" w:ascii="黑体" w:hAnsi="黑体" w:eastAsia="黑体" w:cs="宋体"/>
          <w:color w:val="auto"/>
          <w:sz w:val="44"/>
          <w:szCs w:val="44"/>
          <w:highlight w:val="none"/>
        </w:rPr>
      </w:pPr>
      <w:r>
        <w:rPr>
          <w:rFonts w:hint="eastAsia" w:ascii="仿宋" w:hAnsi="仿宋" w:eastAsia="仿宋" w:cs="仿宋"/>
          <w:color w:val="auto"/>
          <w:kern w:val="2"/>
          <w:sz w:val="32"/>
          <w:szCs w:val="32"/>
          <w:highlight w:val="none"/>
          <w:lang w:val="en-US" w:eastAsia="zh-CN" w:bidi="ar-SA"/>
        </w:rPr>
        <w:t>（二）对未中选的比选申请人，比选人将不作任何解释。</w:t>
      </w:r>
    </w:p>
    <w:p>
      <w:pPr>
        <w:keepNext w:val="0"/>
        <w:keepLines w:val="0"/>
        <w:pageBreakBefore w:val="0"/>
        <w:widowControl w:val="0"/>
        <w:kinsoku/>
        <w:wordWrap/>
        <w:overflowPunct/>
        <w:topLinePunct w:val="0"/>
        <w:autoSpaceDE/>
        <w:autoSpaceDN/>
        <w:bidi w:val="0"/>
        <w:adjustRightInd/>
        <w:snapToGrid/>
        <w:spacing w:line="579" w:lineRule="atLeast"/>
        <w:textAlignment w:val="auto"/>
        <w:rPr>
          <w:rFonts w:hint="eastAsia" w:ascii="黑体" w:hAnsi="黑体" w:eastAsia="黑体" w:cs="宋体"/>
          <w:color w:val="auto"/>
          <w:kern w:val="0"/>
          <w:sz w:val="32"/>
          <w:szCs w:val="32"/>
          <w:highlight w:val="none"/>
          <w:lang w:val="en-US" w:eastAsia="zh-CN" w:bidi="ar-SA"/>
        </w:rPr>
      </w:pPr>
      <w:r>
        <w:rPr>
          <w:rFonts w:hint="eastAsia" w:ascii="黑体" w:hAnsi="黑体" w:eastAsia="黑体" w:cs="宋体"/>
          <w:color w:val="auto"/>
          <w:kern w:val="0"/>
          <w:sz w:val="32"/>
          <w:szCs w:val="32"/>
          <w:highlight w:val="none"/>
          <w:lang w:val="en-US" w:eastAsia="zh-CN" w:bidi="ar-SA"/>
        </w:rPr>
        <w:t>九、不正当竞争与纪律监督</w:t>
      </w:r>
    </w:p>
    <w:p>
      <w:pPr>
        <w:keepNext w:val="0"/>
        <w:keepLines w:val="0"/>
        <w:pageBreakBefore w:val="0"/>
        <w:widowControl w:val="0"/>
        <w:kinsoku/>
        <w:wordWrap/>
        <w:overflowPunct/>
        <w:topLinePunct w:val="0"/>
        <w:autoSpaceDE/>
        <w:autoSpaceDN/>
        <w:bidi w:val="0"/>
        <w:adjustRightInd/>
        <w:snapToGrid/>
        <w:spacing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（一）严禁比选申请人向参加比选、评审工作的有关人员行贿，使其泄露一切与比选、评审工作的有关信息。</w:t>
      </w:r>
    </w:p>
    <w:p>
      <w:pPr>
        <w:keepNext w:val="0"/>
        <w:keepLines w:val="0"/>
        <w:pageBreakBefore w:val="0"/>
        <w:widowControl w:val="0"/>
        <w:kinsoku/>
        <w:wordWrap/>
        <w:overflowPunct/>
        <w:topLinePunct w:val="0"/>
        <w:autoSpaceDE/>
        <w:autoSpaceDN/>
        <w:bidi w:val="0"/>
        <w:adjustRightInd/>
        <w:snapToGrid/>
        <w:spacing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（二）比选申请人在比选过程中严禁互相串通、结盟，损害投标的公正性和竞争性，或以任何方式影响其他比选申请人参与正当比选。</w:t>
      </w:r>
    </w:p>
    <w:p>
      <w:pPr>
        <w:pStyle w:val="10"/>
        <w:keepNext w:val="0"/>
        <w:keepLines w:val="0"/>
        <w:pageBreakBefore/>
        <w:widowControl w:val="0"/>
        <w:kinsoku/>
        <w:wordWrap/>
        <w:overflowPunct/>
        <w:topLinePunct w:val="0"/>
        <w:autoSpaceDE/>
        <w:autoSpaceDN/>
        <w:bidi w:val="0"/>
        <w:adjustRightInd/>
        <w:snapToGrid/>
        <w:ind w:firstLine="883" w:firstLineChars="200"/>
        <w:jc w:val="center"/>
        <w:textAlignment w:val="auto"/>
        <w:rPr>
          <w:rFonts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第八章 合同</w:t>
      </w:r>
      <w:r>
        <w:rPr>
          <w:rFonts w:hint="eastAsia" w:ascii="宋体" w:hAnsi="宋体" w:eastAsia="宋体" w:cs="宋体"/>
          <w:b/>
          <w:color w:val="auto"/>
          <w:kern w:val="0"/>
          <w:sz w:val="44"/>
          <w:szCs w:val="44"/>
          <w:highlight w:val="none"/>
          <w:lang w:eastAsia="zh-CN"/>
        </w:rPr>
        <w:t>协议</w:t>
      </w:r>
      <w:r>
        <w:rPr>
          <w:rFonts w:hint="eastAsia" w:ascii="宋体" w:hAnsi="宋体" w:eastAsia="宋体" w:cs="宋体"/>
          <w:b/>
          <w:color w:val="auto"/>
          <w:kern w:val="0"/>
          <w:sz w:val="44"/>
          <w:szCs w:val="44"/>
          <w:highlight w:val="none"/>
        </w:rPr>
        <w:t>书</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甲方：凉山州国有交通投资发展集团有限责任公司</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kern w:val="2"/>
          <w:sz w:val="32"/>
          <w:szCs w:val="32"/>
          <w:highlight w:val="none"/>
          <w:u w:val="single"/>
          <w:lang w:val="en-US" w:eastAsia="zh-CN" w:bidi="ar-SA"/>
        </w:rPr>
      </w:pPr>
      <w:r>
        <w:rPr>
          <w:rFonts w:hint="eastAsia" w:ascii="仿宋" w:hAnsi="仿宋" w:eastAsia="仿宋" w:cs="仿宋"/>
          <w:b/>
          <w:bCs/>
          <w:color w:val="auto"/>
          <w:kern w:val="2"/>
          <w:sz w:val="32"/>
          <w:szCs w:val="32"/>
          <w:highlight w:val="none"/>
          <w:lang w:val="en-US" w:eastAsia="zh-CN" w:bidi="ar-SA"/>
        </w:rPr>
        <w:t>乙方：</w:t>
      </w:r>
      <w:r>
        <w:rPr>
          <w:rFonts w:hint="eastAsia" w:ascii="仿宋" w:hAnsi="仿宋" w:eastAsia="仿宋" w:cs="仿宋"/>
          <w:color w:val="auto"/>
          <w:kern w:val="2"/>
          <w:sz w:val="32"/>
          <w:szCs w:val="32"/>
          <w:highlight w:val="none"/>
          <w:lang w:val="en-US" w:eastAsia="zh-CN" w:bidi="ar-SA"/>
        </w:rPr>
        <w:t xml:space="preserve"> </w:t>
      </w:r>
      <w:r>
        <w:rPr>
          <w:rFonts w:hint="eastAsia" w:ascii="仿宋" w:hAnsi="仿宋" w:eastAsia="仿宋" w:cs="仿宋"/>
          <w:color w:val="auto"/>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320" w:firstLineChars="1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甲方委托乙方对</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竣工财务决算审计，现将双方的责任及有关事项约定如下：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amp;quot" w:eastAsia="仿宋_GB2312"/>
          <w:color w:val="auto"/>
          <w:sz w:val="44"/>
          <w:szCs w:val="44"/>
          <w:highlight w:val="none"/>
        </w:rPr>
      </w:pPr>
      <w:r>
        <w:rPr>
          <w:rFonts w:hint="eastAsia" w:ascii="仿宋" w:hAnsi="仿宋" w:eastAsia="仿宋" w:cs="仿宋"/>
          <w:color w:val="auto"/>
          <w:kern w:val="2"/>
          <w:sz w:val="32"/>
          <w:szCs w:val="32"/>
          <w:highlight w:val="none"/>
          <w:lang w:val="en-US" w:eastAsia="zh-CN" w:bidi="ar-SA"/>
        </w:rPr>
        <w:t>甲、乙双方均应严格遵守党和国家有关党风廉政建设的规定，遵守国家有关法律规定。在合同谈判、签订或履行等过程中，乙方不得向甲方工作人员行贿，不得向甲方工作人员提供不正当财物、服务（含妨碍公正执行公务的宴请）等。如发现乙方有上述不廉洁行为且被国家监察部门或司法机关认定的，甲方有权单方面解除合同并将乙方纳入不良记录名单；同时，甲方有权向乙方主张违约责任并要求赔偿由此而导致的经济损失。</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rPr>
      </w:pPr>
      <w:r>
        <w:rPr>
          <w:rFonts w:hint="eastAsia" w:ascii="黑体" w:hAnsi="黑体" w:eastAsia="黑体" w:cs="宋体"/>
          <w:color w:val="auto"/>
          <w:sz w:val="32"/>
          <w:szCs w:val="32"/>
          <w:highlight w:val="none"/>
          <w:lang w:eastAsia="zh-CN"/>
        </w:rPr>
        <w:t>一、</w:t>
      </w:r>
      <w:r>
        <w:rPr>
          <w:rFonts w:hint="eastAsia" w:ascii="黑体" w:hAnsi="黑体" w:eastAsia="黑体" w:cs="宋体"/>
          <w:color w:val="auto"/>
          <w:sz w:val="32"/>
          <w:szCs w:val="32"/>
          <w:highlight w:val="none"/>
        </w:rPr>
        <w:t>委托目的与审计范围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宋体"/>
          <w:color w:val="auto"/>
          <w:sz w:val="44"/>
          <w:szCs w:val="44"/>
          <w:highlight w:val="none"/>
        </w:rPr>
      </w:pPr>
      <w:r>
        <w:rPr>
          <w:rFonts w:hint="eastAsia" w:ascii="仿宋" w:hAnsi="仿宋" w:eastAsia="仿宋" w:cs="仿宋"/>
          <w:color w:val="auto"/>
          <w:kern w:val="2"/>
          <w:sz w:val="32"/>
          <w:szCs w:val="32"/>
          <w:highlight w:val="none"/>
          <w:lang w:val="en-US" w:eastAsia="zh-CN" w:bidi="ar-SA"/>
        </w:rPr>
        <w:t>由乙方负责完成对</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 xml:space="preserve">竣工财务决算审计工作，按照《基本建设财务规则》(财政部令第81号)《基本建设项目竣工财务决算管理暂行办法》（财建〔2016〕503号）《中国注册会计师审计准则》及甲方要求实施审计，并出具审计报告。  </w:t>
      </w:r>
      <w:r>
        <w:rPr>
          <w:rFonts w:ascii="仿宋_GB2312" w:hAnsi="&amp;quot" w:eastAsia="仿宋_GB2312"/>
          <w:color w:val="auto"/>
          <w:sz w:val="44"/>
          <w:szCs w:val="44"/>
          <w:highlight w:val="none"/>
        </w:rPr>
        <w:t xml:space="preserve">   </w:t>
      </w:r>
      <w:r>
        <w:rPr>
          <w:rFonts w:hint="eastAsia" w:ascii="仿宋_GB2312" w:hAnsi="&amp;quot" w:eastAsia="仿宋_GB2312"/>
          <w:color w:val="auto"/>
          <w:sz w:val="44"/>
          <w:szCs w:val="44"/>
          <w:highlight w:val="none"/>
        </w:rPr>
        <w:t xml:space="preserve">        </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rPr>
      </w:pPr>
      <w:r>
        <w:rPr>
          <w:rFonts w:hint="eastAsia" w:ascii="黑体" w:hAnsi="黑体" w:eastAsia="黑体" w:cs="宋体"/>
          <w:color w:val="auto"/>
          <w:sz w:val="32"/>
          <w:szCs w:val="32"/>
          <w:highlight w:val="none"/>
        </w:rPr>
        <w:t>二</w:t>
      </w:r>
      <w:r>
        <w:rPr>
          <w:rFonts w:hint="eastAsia" w:ascii="黑体" w:hAnsi="黑体" w:eastAsia="黑体" w:cs="宋体"/>
          <w:color w:val="auto"/>
          <w:sz w:val="32"/>
          <w:szCs w:val="32"/>
          <w:highlight w:val="none"/>
          <w:lang w:eastAsia="zh-CN"/>
        </w:rPr>
        <w:t>、</w:t>
      </w:r>
      <w:r>
        <w:rPr>
          <w:rFonts w:hint="eastAsia" w:ascii="黑体" w:hAnsi="黑体" w:eastAsia="黑体" w:cs="宋体"/>
          <w:color w:val="auto"/>
          <w:sz w:val="32"/>
          <w:szCs w:val="32"/>
          <w:highlight w:val="none"/>
        </w:rPr>
        <w:t>审计工作内容</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（一）审计</w:t>
      </w:r>
      <w:r>
        <w:rPr>
          <w:rFonts w:hint="default" w:ascii="仿宋" w:hAnsi="仿宋" w:eastAsia="仿宋" w:cs="仿宋"/>
          <w:color w:val="auto"/>
          <w:kern w:val="2"/>
          <w:sz w:val="32"/>
          <w:szCs w:val="32"/>
          <w:highlight w:val="none"/>
          <w:lang w:val="en-US" w:eastAsia="zh-CN" w:bidi="ar-SA"/>
        </w:rPr>
        <w:t>决算依据是否齐全、是否符合有关规定、是否存在遗留问题。</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（二）审计</w:t>
      </w:r>
      <w:r>
        <w:rPr>
          <w:rFonts w:hint="default" w:ascii="仿宋" w:hAnsi="仿宋" w:eastAsia="仿宋" w:cs="仿宋"/>
          <w:color w:val="auto"/>
          <w:kern w:val="2"/>
          <w:sz w:val="32"/>
          <w:szCs w:val="32"/>
          <w:highlight w:val="none"/>
          <w:lang w:val="en-US" w:eastAsia="zh-CN" w:bidi="ar-SA"/>
        </w:rPr>
        <w:t>竣工决算资料的齐全性和真实性。有关财务报表、主要附表是否齐全，表中各项目的内容填列是否完整、正确、真实，各表之间应该一致的数字是否相符</w:t>
      </w:r>
      <w:r>
        <w:rPr>
          <w:rFonts w:hint="eastAsia" w:ascii="仿宋" w:hAnsi="仿宋" w:eastAsia="仿宋" w:cs="仿宋"/>
          <w:color w:val="auto"/>
          <w:kern w:val="2"/>
          <w:sz w:val="32"/>
          <w:szCs w:val="32"/>
          <w:highlight w:val="none"/>
          <w:lang w:val="en-US" w:eastAsia="zh-CN" w:bidi="ar-SA"/>
        </w:rPr>
        <w:t>；</w:t>
      </w:r>
      <w:r>
        <w:rPr>
          <w:rFonts w:hint="default" w:ascii="仿宋" w:hAnsi="仿宋" w:eastAsia="仿宋" w:cs="仿宋"/>
          <w:color w:val="auto"/>
          <w:kern w:val="2"/>
          <w:sz w:val="32"/>
          <w:szCs w:val="32"/>
          <w:highlight w:val="none"/>
          <w:lang w:val="en-US" w:eastAsia="zh-CN" w:bidi="ar-SA"/>
        </w:rPr>
        <w:t>竣工情况说明书所列项目内容是否全面、真实。</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（三）审计</w:t>
      </w:r>
      <w:r>
        <w:rPr>
          <w:rFonts w:hint="default" w:ascii="仿宋" w:hAnsi="仿宋" w:eastAsia="仿宋" w:cs="仿宋"/>
          <w:color w:val="auto"/>
          <w:kern w:val="2"/>
          <w:sz w:val="32"/>
          <w:szCs w:val="32"/>
          <w:highlight w:val="none"/>
          <w:lang w:val="en-US" w:eastAsia="zh-CN" w:bidi="ar-SA"/>
        </w:rPr>
        <w:t>建设单位的竣工验收工作是否符合有关规定，决算编制工作有无专门的人员，各项清理工作是否彻底和全面。</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w:t>
      </w:r>
      <w:r>
        <w:rPr>
          <w:rFonts w:hint="default" w:ascii="仿宋" w:hAnsi="仿宋" w:eastAsia="仿宋" w:cs="仿宋"/>
          <w:color w:val="auto"/>
          <w:kern w:val="2"/>
          <w:sz w:val="32"/>
          <w:szCs w:val="32"/>
          <w:highlight w:val="none"/>
          <w:lang w:val="en-US" w:eastAsia="zh-CN" w:bidi="ar-SA"/>
        </w:rPr>
        <w:t>审查项目建设是否按照批准的初步设计进行，各单位工程是否严格按照批准的概算内容进行，有无概算外项目和提高建设标准、扩大建设规模的问题;有无重大质量事故和经济损失。</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w:t>
      </w:r>
      <w:r>
        <w:rPr>
          <w:rFonts w:hint="default" w:ascii="仿宋" w:hAnsi="仿宋" w:eastAsia="仿宋" w:cs="仿宋"/>
          <w:color w:val="auto"/>
          <w:kern w:val="2"/>
          <w:sz w:val="32"/>
          <w:szCs w:val="32"/>
          <w:highlight w:val="none"/>
          <w:lang w:val="en-US" w:eastAsia="zh-CN" w:bidi="ar-SA"/>
        </w:rPr>
        <w:t>审查交付使用财产是否真实和完整，是否符合交付条件，移交手续是否齐全、合规。审查竣工决算中所列的交付使用资产价值是否真实、准确，其构成是否合理;应计入交付使用资产成本的报废工程损失、坏账损失和非常损失等，是否已按规定程序报经有关部门批准;应分摊计入交付使用资产成本的待摊投资，是否已按规定的方法分摊计入交付使用资产成本，其分摊标准是否合理;有无多报、重报、虚报交付使用资产价值的情况等。同时核实在建工程完成额，查明未能全部完成和及时交付使用的原因。</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w:t>
      </w:r>
      <w:r>
        <w:rPr>
          <w:rFonts w:hint="default" w:ascii="仿宋" w:hAnsi="仿宋" w:eastAsia="仿宋" w:cs="仿宋"/>
          <w:color w:val="auto"/>
          <w:kern w:val="2"/>
          <w:sz w:val="32"/>
          <w:szCs w:val="32"/>
          <w:highlight w:val="none"/>
          <w:lang w:val="en-US" w:eastAsia="zh-CN" w:bidi="ar-SA"/>
        </w:rPr>
        <w:t>审查建设项目的资金来源和投资支出是否真实、合法，基本建设结余资金是否真实、准确。</w:t>
      </w:r>
      <w:r>
        <w:rPr>
          <w:rFonts w:hint="eastAsia" w:ascii="仿宋" w:hAnsi="仿宋" w:eastAsia="仿宋" w:cs="仿宋"/>
          <w:color w:val="auto"/>
          <w:kern w:val="2"/>
          <w:sz w:val="32"/>
          <w:szCs w:val="32"/>
          <w:highlight w:val="none"/>
          <w:lang w:val="en-US" w:eastAsia="zh-CN" w:bidi="ar-SA"/>
        </w:rPr>
        <w:t>审计</w:t>
      </w:r>
      <w:r>
        <w:rPr>
          <w:rFonts w:hint="default" w:ascii="仿宋" w:hAnsi="仿宋" w:eastAsia="仿宋" w:cs="仿宋"/>
          <w:color w:val="auto"/>
          <w:kern w:val="2"/>
          <w:sz w:val="32"/>
          <w:szCs w:val="32"/>
          <w:highlight w:val="none"/>
          <w:lang w:val="en-US" w:eastAsia="zh-CN" w:bidi="ar-SA"/>
        </w:rPr>
        <w:t>建设单位是否按照规定渠道取得基本建设资金，检查有无任意挪用其他资金和非法集资等情况</w:t>
      </w:r>
      <w:r>
        <w:rPr>
          <w:rFonts w:hint="eastAsia" w:ascii="仿宋" w:hAnsi="仿宋" w:eastAsia="仿宋" w:cs="仿宋"/>
          <w:color w:val="auto"/>
          <w:kern w:val="2"/>
          <w:sz w:val="32"/>
          <w:szCs w:val="32"/>
          <w:highlight w:val="none"/>
          <w:lang w:val="en-US" w:eastAsia="zh-CN" w:bidi="ar-SA"/>
        </w:rPr>
        <w:t>；</w:t>
      </w:r>
      <w:r>
        <w:rPr>
          <w:rFonts w:hint="default" w:ascii="仿宋" w:hAnsi="仿宋" w:eastAsia="仿宋" w:cs="仿宋"/>
          <w:color w:val="auto"/>
          <w:kern w:val="2"/>
          <w:sz w:val="32"/>
          <w:szCs w:val="32"/>
          <w:highlight w:val="none"/>
          <w:lang w:val="en-US" w:eastAsia="zh-CN" w:bidi="ar-SA"/>
        </w:rPr>
        <w:t>竣工决算表中所列的各项基本建设拨款或贷款额，是否反映了从开始建设起至竣工为止的累计数，历年的拨款或贷款之和是否超过核定的拨款或贷款总额。竣工决算表中所列的基本建设结余资金数额是否与竣工年度决算中的数额相符，且数字是否真实、准确。</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（七）</w:t>
      </w:r>
      <w:r>
        <w:rPr>
          <w:rFonts w:hint="default" w:ascii="仿宋" w:hAnsi="仿宋" w:eastAsia="仿宋" w:cs="仿宋"/>
          <w:color w:val="auto"/>
          <w:kern w:val="2"/>
          <w:sz w:val="32"/>
          <w:szCs w:val="32"/>
          <w:highlight w:val="none"/>
          <w:lang w:val="en-US" w:eastAsia="zh-CN" w:bidi="ar-SA"/>
        </w:rPr>
        <w:t>审查建设成本节约和超支的原因。根据设计概算或基本建设投资包干指标，审查竣工项目的建设成本节约或超支的具体原因。</w:t>
      </w:r>
    </w:p>
    <w:p>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（八）其他竣工决算应审查内容</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rPr>
      </w:pPr>
      <w:r>
        <w:rPr>
          <w:rFonts w:hint="eastAsia" w:ascii="黑体" w:hAnsi="黑体" w:eastAsia="黑体" w:cs="宋体"/>
          <w:color w:val="auto"/>
          <w:sz w:val="32"/>
          <w:szCs w:val="32"/>
          <w:highlight w:val="none"/>
        </w:rPr>
        <w:t>三、甲方的权利与义务</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（一）甲方有权向乙方询问工作进展情况及相关的内容。</w:t>
      </w:r>
      <w:r>
        <w:rPr>
          <w:rFonts w:hint="default" w:ascii="仿宋" w:hAnsi="仿宋" w:eastAsia="仿宋" w:cs="仿宋"/>
          <w:color w:val="auto"/>
          <w:kern w:val="2"/>
          <w:sz w:val="32"/>
          <w:szCs w:val="32"/>
          <w:highlight w:val="none"/>
          <w:lang w:val="en-US" w:eastAsia="zh-CN" w:bidi="ar-SA"/>
        </w:rPr>
        <w:t>并协调审计过程中出现的有关问题。乙方在工作中出现推诿、拖延等现象时，甲方有权视情况解除本</w:t>
      </w:r>
      <w:r>
        <w:rPr>
          <w:rFonts w:hint="eastAsia" w:ascii="仿宋" w:hAnsi="仿宋" w:eastAsia="仿宋" w:cs="仿宋"/>
          <w:color w:val="auto"/>
          <w:kern w:val="2"/>
          <w:sz w:val="32"/>
          <w:szCs w:val="32"/>
          <w:highlight w:val="none"/>
          <w:lang w:val="en-US" w:eastAsia="zh-CN" w:bidi="ar-SA"/>
        </w:rPr>
        <w:t>合同</w:t>
      </w:r>
      <w:r>
        <w:rPr>
          <w:rFonts w:hint="default" w:ascii="仿宋" w:hAnsi="仿宋" w:eastAsia="仿宋" w:cs="仿宋"/>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（二）甲方有权阐述对具体问题的意见和建议。</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w:t>
      </w:r>
      <w:r>
        <w:rPr>
          <w:rFonts w:hint="default" w:ascii="仿宋" w:hAnsi="仿宋" w:eastAsia="仿宋" w:cs="仿宋"/>
          <w:color w:val="auto"/>
          <w:kern w:val="2"/>
          <w:sz w:val="32"/>
          <w:szCs w:val="32"/>
          <w:highlight w:val="none"/>
          <w:lang w:val="en-US" w:eastAsia="zh-CN" w:bidi="ar-SA"/>
        </w:rPr>
        <w:t>通过查验资格证书、现场观察、抽查考核等方式对乙方派出人员是否胜任工作进行监督检查，在乙方派出人员不能完全胜任工作或出现重大偏差时有权要求乙方重新派出能够胜任工作的合格人员，并有权要求乙方赔偿因其工作失误给甲方造成的全部损失。</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w:t>
      </w:r>
      <w:r>
        <w:rPr>
          <w:rFonts w:hint="default" w:ascii="仿宋" w:hAnsi="仿宋" w:eastAsia="仿宋" w:cs="仿宋"/>
          <w:color w:val="auto"/>
          <w:kern w:val="2"/>
          <w:sz w:val="32"/>
          <w:szCs w:val="32"/>
          <w:highlight w:val="none"/>
          <w:lang w:val="en-US" w:eastAsia="zh-CN" w:bidi="ar-SA"/>
        </w:rPr>
        <w:t>甲方为乙方审计工作提供必要的工作支持，协调被审计单位及时提供完整、准确、全面的资料，被审计单位对提交资料的真实性负责。</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w:t>
      </w:r>
      <w:r>
        <w:rPr>
          <w:rFonts w:hint="default" w:ascii="仿宋" w:hAnsi="仿宋" w:eastAsia="仿宋" w:cs="仿宋"/>
          <w:color w:val="auto"/>
          <w:kern w:val="2"/>
          <w:sz w:val="32"/>
          <w:szCs w:val="32"/>
          <w:highlight w:val="none"/>
          <w:lang w:val="en-US" w:eastAsia="zh-CN" w:bidi="ar-SA"/>
        </w:rPr>
        <w:t>不得要求乙方出具违背客观事实的审计报告。</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w:t>
      </w:r>
      <w:r>
        <w:rPr>
          <w:rFonts w:hint="default" w:ascii="仿宋" w:hAnsi="仿宋" w:eastAsia="仿宋" w:cs="仿宋"/>
          <w:color w:val="auto"/>
          <w:kern w:val="2"/>
          <w:sz w:val="32"/>
          <w:szCs w:val="32"/>
          <w:highlight w:val="none"/>
          <w:lang w:val="en-US" w:eastAsia="zh-CN" w:bidi="ar-SA"/>
        </w:rPr>
        <w:t>按本合同之规定及时足额支付审计费用</w:t>
      </w:r>
      <w:r>
        <w:rPr>
          <w:rFonts w:hint="eastAsia" w:ascii="仿宋" w:hAnsi="仿宋" w:eastAsia="仿宋" w:cs="仿宋"/>
          <w:color w:val="auto"/>
          <w:kern w:val="2"/>
          <w:sz w:val="32"/>
          <w:szCs w:val="32"/>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rPr>
      </w:pPr>
      <w:r>
        <w:rPr>
          <w:rFonts w:hint="eastAsia" w:ascii="黑体" w:hAnsi="黑体" w:eastAsia="黑体" w:cs="宋体"/>
          <w:color w:val="auto"/>
          <w:sz w:val="32"/>
          <w:szCs w:val="32"/>
          <w:highlight w:val="none"/>
        </w:rPr>
        <w:t>四、乙方的权利与义务</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w:t>
      </w:r>
      <w:r>
        <w:rPr>
          <w:rFonts w:hint="default" w:ascii="仿宋" w:hAnsi="仿宋" w:eastAsia="仿宋" w:cs="仿宋"/>
          <w:color w:val="auto"/>
          <w:kern w:val="2"/>
          <w:sz w:val="32"/>
          <w:szCs w:val="32"/>
          <w:highlight w:val="none"/>
          <w:lang w:val="en-US" w:eastAsia="zh-CN" w:bidi="ar-SA"/>
        </w:rPr>
        <w:t>乙方有权依据国家有关法律、法规和《中国注册会计师执业准则》，实施其认为必要的审计程序。</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w:t>
      </w:r>
      <w:r>
        <w:rPr>
          <w:rFonts w:hint="default" w:ascii="仿宋" w:hAnsi="仿宋" w:eastAsia="仿宋" w:cs="仿宋"/>
          <w:color w:val="auto"/>
          <w:kern w:val="2"/>
          <w:sz w:val="32"/>
          <w:szCs w:val="32"/>
          <w:highlight w:val="none"/>
          <w:lang w:val="en-US" w:eastAsia="zh-CN" w:bidi="ar-SA"/>
        </w:rPr>
        <w:t>按照《中国注册会计师审计准则》的要求进行审计，按双方约定时间出具审计报告，保证审计报告的真实性、合法性。</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w:t>
      </w:r>
      <w:r>
        <w:rPr>
          <w:rFonts w:hint="default" w:ascii="仿宋" w:hAnsi="仿宋" w:eastAsia="仿宋" w:cs="仿宋"/>
          <w:color w:val="auto"/>
          <w:kern w:val="2"/>
          <w:sz w:val="32"/>
          <w:szCs w:val="32"/>
          <w:highlight w:val="none"/>
          <w:lang w:val="en-US" w:eastAsia="zh-CN" w:bidi="ar-SA"/>
        </w:rPr>
        <w:t>乙方应按审计通知要求及时派出审计组到达被审计单位实施现场审计，现场审计人员不低于</w:t>
      </w:r>
      <w:r>
        <w:rPr>
          <w:rFonts w:hint="eastAsia" w:ascii="仿宋" w:hAnsi="仿宋" w:eastAsia="仿宋" w:cs="仿宋"/>
          <w:color w:val="auto"/>
          <w:kern w:val="2"/>
          <w:sz w:val="32"/>
          <w:szCs w:val="32"/>
          <w:highlight w:val="none"/>
          <w:lang w:val="en-US" w:eastAsia="zh-CN" w:bidi="ar-SA"/>
        </w:rPr>
        <w:t>4</w:t>
      </w:r>
      <w:r>
        <w:rPr>
          <w:rFonts w:hint="default" w:ascii="仿宋" w:hAnsi="仿宋" w:eastAsia="仿宋" w:cs="仿宋"/>
          <w:color w:val="auto"/>
          <w:kern w:val="2"/>
          <w:sz w:val="32"/>
          <w:szCs w:val="32"/>
          <w:highlight w:val="none"/>
          <w:lang w:val="en-US" w:eastAsia="zh-CN" w:bidi="ar-SA"/>
        </w:rPr>
        <w:t>人。项目现场负责人必须是拥有5年以上经验的注册会计师。为保证审计工作质量，在实施审计期间，应保证项目负责人及主要技术骨干人员的稳定，原则上不作变动调整，若有特殊情况应及时向委托方说明原因并征得其书面同意。</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w:t>
      </w:r>
      <w:r>
        <w:rPr>
          <w:rFonts w:hint="default" w:ascii="仿宋" w:hAnsi="仿宋" w:eastAsia="仿宋" w:cs="仿宋"/>
          <w:color w:val="auto"/>
          <w:kern w:val="2"/>
          <w:sz w:val="32"/>
          <w:szCs w:val="32"/>
          <w:highlight w:val="none"/>
          <w:lang w:val="en-US" w:eastAsia="zh-CN" w:bidi="ar-SA"/>
        </w:rPr>
        <w:t>乙方应</w:t>
      </w:r>
      <w:r>
        <w:rPr>
          <w:rFonts w:hint="eastAsia" w:ascii="仿宋" w:hAnsi="仿宋" w:eastAsia="仿宋" w:cs="仿宋"/>
          <w:color w:val="auto"/>
          <w:kern w:val="2"/>
          <w:sz w:val="32"/>
          <w:szCs w:val="32"/>
          <w:highlight w:val="none"/>
          <w:lang w:val="en-US" w:eastAsia="zh-CN" w:bidi="ar-SA"/>
        </w:rPr>
        <w:t>按比选要求在规定时间</w:t>
      </w:r>
      <w:r>
        <w:rPr>
          <w:rFonts w:hint="default" w:ascii="仿宋" w:hAnsi="仿宋" w:eastAsia="仿宋" w:cs="仿宋"/>
          <w:color w:val="auto"/>
          <w:kern w:val="2"/>
          <w:sz w:val="32"/>
          <w:szCs w:val="32"/>
          <w:highlight w:val="none"/>
          <w:lang w:val="en-US" w:eastAsia="zh-CN" w:bidi="ar-SA"/>
        </w:rPr>
        <w:t>出具审计报告。</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w:t>
      </w:r>
      <w:r>
        <w:rPr>
          <w:rFonts w:hint="default" w:ascii="仿宋" w:hAnsi="仿宋" w:eastAsia="仿宋" w:cs="仿宋"/>
          <w:color w:val="auto"/>
          <w:kern w:val="2"/>
          <w:sz w:val="32"/>
          <w:szCs w:val="32"/>
          <w:highlight w:val="none"/>
          <w:lang w:val="en-US" w:eastAsia="zh-CN" w:bidi="ar-SA"/>
        </w:rPr>
        <w:t>妥善保管和正确使用</w:t>
      </w:r>
      <w:bookmarkStart w:id="3" w:name="_Hlk79580997"/>
      <w:r>
        <w:rPr>
          <w:rFonts w:hint="default" w:ascii="仿宋" w:hAnsi="仿宋" w:eastAsia="仿宋" w:cs="仿宋"/>
          <w:color w:val="auto"/>
          <w:kern w:val="2"/>
          <w:sz w:val="32"/>
          <w:szCs w:val="32"/>
          <w:highlight w:val="none"/>
          <w:lang w:val="en-US" w:eastAsia="zh-CN" w:bidi="ar-SA"/>
        </w:rPr>
        <w:t>被审计人</w:t>
      </w:r>
      <w:bookmarkEnd w:id="3"/>
      <w:r>
        <w:rPr>
          <w:rFonts w:hint="default" w:ascii="仿宋" w:hAnsi="仿宋" w:eastAsia="仿宋" w:cs="仿宋"/>
          <w:color w:val="auto"/>
          <w:kern w:val="2"/>
          <w:sz w:val="32"/>
          <w:szCs w:val="32"/>
          <w:highlight w:val="none"/>
          <w:lang w:val="en-US" w:eastAsia="zh-CN" w:bidi="ar-SA"/>
        </w:rPr>
        <w:t>提供的所有资料，并对其使用期间的安全性承担责任，审计完成后按双方《审计资料提交清单》如数点交归还被审计人。</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w:t>
      </w:r>
      <w:r>
        <w:rPr>
          <w:rFonts w:hint="default" w:ascii="仿宋" w:hAnsi="仿宋" w:eastAsia="仿宋" w:cs="仿宋"/>
          <w:color w:val="auto"/>
          <w:kern w:val="2"/>
          <w:sz w:val="32"/>
          <w:szCs w:val="32"/>
          <w:highlight w:val="none"/>
          <w:lang w:val="en-US" w:eastAsia="zh-CN" w:bidi="ar-SA"/>
        </w:rPr>
        <w:t>乙方应当在本约定书有效期内，按照甲方要求提供准确、完整的审计资料档案。</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（七）</w:t>
      </w:r>
      <w:r>
        <w:rPr>
          <w:rFonts w:hint="default" w:ascii="仿宋" w:hAnsi="仿宋" w:eastAsia="仿宋" w:cs="仿宋"/>
          <w:color w:val="auto"/>
          <w:kern w:val="2"/>
          <w:sz w:val="32"/>
          <w:szCs w:val="32"/>
          <w:highlight w:val="none"/>
          <w:lang w:val="en-US" w:eastAsia="zh-CN" w:bidi="ar-SA"/>
        </w:rPr>
        <w:t>审计中发现违规、违纪等重大事项时，应及时向甲方反馈。</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（八）</w:t>
      </w:r>
      <w:r>
        <w:rPr>
          <w:rFonts w:hint="default" w:ascii="仿宋" w:hAnsi="仿宋" w:eastAsia="仿宋" w:cs="仿宋"/>
          <w:color w:val="auto"/>
          <w:kern w:val="2"/>
          <w:sz w:val="32"/>
          <w:szCs w:val="32"/>
          <w:highlight w:val="none"/>
          <w:lang w:val="en-US" w:eastAsia="zh-CN" w:bidi="ar-SA"/>
        </w:rPr>
        <w:t>除我国法律另有规定外，未经甲方书面同意，不得转让本</w:t>
      </w:r>
      <w:r>
        <w:rPr>
          <w:rFonts w:hint="eastAsia" w:ascii="仿宋" w:hAnsi="仿宋" w:eastAsia="仿宋" w:cs="仿宋"/>
          <w:color w:val="auto"/>
          <w:kern w:val="2"/>
          <w:sz w:val="32"/>
          <w:szCs w:val="32"/>
          <w:highlight w:val="none"/>
          <w:lang w:val="en-US" w:eastAsia="zh-CN" w:bidi="ar-SA"/>
        </w:rPr>
        <w:t>合同</w:t>
      </w:r>
      <w:r>
        <w:rPr>
          <w:rFonts w:hint="default" w:ascii="仿宋" w:hAnsi="仿宋" w:eastAsia="仿宋" w:cs="仿宋"/>
          <w:color w:val="auto"/>
          <w:kern w:val="2"/>
          <w:sz w:val="32"/>
          <w:szCs w:val="32"/>
          <w:highlight w:val="none"/>
          <w:lang w:val="en-US" w:eastAsia="zh-CN" w:bidi="ar-SA"/>
        </w:rPr>
        <w:t>规定的权利和或义务，不得泄露所知悉的甲方和被审计企业任何商业秘密。甲方和被审计企业所提供的一切资料和信息均应视为商业秘密。</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黑体" w:hAnsi="黑体" w:eastAsia="黑体" w:cs="宋体"/>
          <w:color w:val="auto"/>
          <w:sz w:val="44"/>
          <w:szCs w:val="44"/>
          <w:highlight w:val="none"/>
        </w:rPr>
      </w:pPr>
      <w:r>
        <w:rPr>
          <w:rFonts w:hint="eastAsia" w:ascii="仿宋" w:hAnsi="仿宋" w:eastAsia="仿宋" w:cs="仿宋"/>
          <w:color w:val="auto"/>
          <w:kern w:val="2"/>
          <w:sz w:val="32"/>
          <w:szCs w:val="32"/>
          <w:highlight w:val="none"/>
          <w:lang w:val="en-US" w:eastAsia="zh-CN" w:bidi="ar-SA"/>
        </w:rPr>
        <w:t>（九）乙方要对出具的审计报告的合法性、真实性负责。</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rPr>
      </w:pPr>
      <w:r>
        <w:rPr>
          <w:rFonts w:hint="eastAsia" w:ascii="黑体" w:hAnsi="黑体" w:eastAsia="黑体" w:cs="宋体"/>
          <w:color w:val="auto"/>
          <w:sz w:val="32"/>
          <w:szCs w:val="32"/>
          <w:highlight w:val="none"/>
        </w:rPr>
        <w:t>五、审计报告的使用责任</w:t>
      </w:r>
    </w:p>
    <w:p>
      <w:pPr>
        <w:pStyle w:val="10"/>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黑体" w:hAnsi="黑体" w:eastAsia="黑体" w:cs="宋体"/>
          <w:color w:val="auto"/>
          <w:sz w:val="44"/>
          <w:szCs w:val="44"/>
          <w:highlight w:val="none"/>
          <w:lang w:val="en-US" w:eastAsia="zh-CN"/>
        </w:rPr>
      </w:pPr>
      <w:r>
        <w:rPr>
          <w:rFonts w:hint="eastAsia" w:ascii="仿宋" w:hAnsi="仿宋" w:eastAsia="仿宋" w:cs="仿宋"/>
          <w:color w:val="auto"/>
          <w:kern w:val="2"/>
          <w:sz w:val="32"/>
          <w:szCs w:val="32"/>
          <w:highlight w:val="none"/>
          <w:lang w:val="en-US" w:eastAsia="zh-CN" w:bidi="ar-SA"/>
        </w:rPr>
        <w:t>乙方本次出具的审计报告仅适用于本合同约定的审计目的，乙方向甲方出具正式审计报告一式 八 份，以及扫描件 一 份，并按照甲方管理部门要求提供审增、审减台账，甲方对乙方交付使用的审计报告只能向国家有关管理机关、外部会计师事务所、上级单位和本单位分发、报送及使用，使用不当的责任与乙方无关。</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宋体"/>
          <w:color w:val="auto"/>
          <w:sz w:val="32"/>
          <w:szCs w:val="32"/>
          <w:highlight w:val="none"/>
          <w:lang w:val="en-US" w:eastAsia="zh-CN"/>
        </w:rPr>
        <w:t>六、审计收费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left"/>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（一）审计合同价总额：</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u w:val="none"/>
          <w:lang w:val="en-US" w:eastAsia="zh-CN" w:bidi="ar-SA"/>
        </w:rPr>
        <w:t>元</w:t>
      </w:r>
      <w:r>
        <w:rPr>
          <w:rFonts w:hint="eastAsia" w:ascii="仿宋" w:hAnsi="仿宋" w:eastAsia="仿宋" w:cs="仿宋"/>
          <w:color w:val="auto"/>
          <w:kern w:val="2"/>
          <w:sz w:val="32"/>
          <w:szCs w:val="32"/>
          <w:highlight w:val="none"/>
          <w:lang w:val="en-US" w:eastAsia="zh-CN" w:bidi="ar-SA"/>
        </w:rPr>
        <w:t>（大写：</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w:t>
      </w:r>
    </w:p>
    <w:p>
      <w:pPr>
        <w:pStyle w:val="10"/>
        <w:keepNext w:val="0"/>
        <w:keepLines w:val="0"/>
        <w:pageBreakBefore w:val="0"/>
        <w:kinsoku/>
        <w:wordWrap/>
        <w:overflowPunct/>
        <w:topLinePunct w:val="0"/>
        <w:autoSpaceDE/>
        <w:autoSpaceDN/>
        <w:bidi w:val="0"/>
        <w:adjustRightInd/>
        <w:snapToGrid/>
        <w:spacing w:after="0" w:line="579" w:lineRule="exact"/>
        <w:textAlignment w:val="auto"/>
        <w:rPr>
          <w:rFonts w:hint="eastAsia" w:ascii="黑体" w:hAnsi="黑体" w:eastAsia="黑体" w:cs="宋体"/>
          <w:color w:val="auto"/>
          <w:sz w:val="44"/>
          <w:szCs w:val="44"/>
          <w:highlight w:val="none"/>
          <w:lang w:val="en-US" w:eastAsia="zh-CN"/>
        </w:rPr>
      </w:pPr>
      <w:r>
        <w:rPr>
          <w:rFonts w:hint="eastAsia" w:ascii="仿宋" w:hAnsi="仿宋" w:eastAsia="仿宋" w:cs="仿宋"/>
          <w:color w:val="auto"/>
          <w:kern w:val="2"/>
          <w:sz w:val="32"/>
          <w:szCs w:val="32"/>
          <w:highlight w:val="none"/>
          <w:lang w:val="en-US" w:eastAsia="zh-CN" w:bidi="ar-SA"/>
        </w:rPr>
        <w:t xml:space="preserve"> （二）费用支付：乙方第一步审计完毕，向甲方出具初审计报告、提交相关审计归档资料和增值税专用发票后，甲方向乙方支付合同价总额50%的审计费用，第二步补充要件相关审计内容，出具最终审计报告后支付合同价总额40%的审计费用，剩余款项，经行政主管部门审批后支付。</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lang w:val="en-US" w:eastAsia="zh-CN"/>
        </w:rPr>
      </w:pPr>
      <w:r>
        <w:rPr>
          <w:rFonts w:hint="eastAsia" w:ascii="黑体" w:hAnsi="黑体" w:eastAsia="黑体" w:cs="宋体"/>
          <w:color w:val="auto"/>
          <w:sz w:val="32"/>
          <w:szCs w:val="32"/>
          <w:highlight w:val="none"/>
          <w:lang w:val="en-US" w:eastAsia="zh-CN"/>
        </w:rPr>
        <w:t>七、廉政及履约保证金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amp;quot" w:eastAsia="仿宋_GB2312"/>
          <w:color w:val="auto"/>
          <w:sz w:val="44"/>
          <w:szCs w:val="44"/>
          <w:highlight w:val="none"/>
          <w:lang w:val="en-US" w:eastAsia="zh-CN"/>
        </w:rPr>
      </w:pPr>
      <w:r>
        <w:rPr>
          <w:rFonts w:hint="eastAsia" w:ascii="仿宋" w:hAnsi="仿宋" w:eastAsia="仿宋" w:cs="仿宋"/>
          <w:color w:val="auto"/>
          <w:kern w:val="2"/>
          <w:sz w:val="32"/>
          <w:szCs w:val="32"/>
          <w:highlight w:val="none"/>
          <w:lang w:val="en-US" w:eastAsia="zh-CN" w:bidi="ar-SA"/>
        </w:rPr>
        <w:t>签订合同之时，中选人应向比选人用现金缴纳合同价10%的履约保证金。在审计过程中，如出现不廉洁行为或审计质量及违约问题，所缴保证金全额冲销收缴；履行合同期间无上述行为，且完成全部工作，中选人在合同期满5个工作日后一次性全额申请无息退还廉政和履约保证金。</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lang w:val="en-US" w:eastAsia="zh-CN"/>
        </w:rPr>
      </w:pPr>
      <w:r>
        <w:rPr>
          <w:rFonts w:hint="eastAsia" w:ascii="黑体" w:hAnsi="黑体" w:eastAsia="黑体" w:cs="宋体"/>
          <w:color w:val="auto"/>
          <w:sz w:val="32"/>
          <w:szCs w:val="32"/>
          <w:highlight w:val="none"/>
          <w:lang w:val="en-US" w:eastAsia="zh-CN"/>
        </w:rPr>
        <w:t>八、合同的有效期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本合同签订之日起生效。</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lang w:val="en-US" w:eastAsia="zh-CN"/>
        </w:rPr>
      </w:pPr>
      <w:r>
        <w:rPr>
          <w:rFonts w:hint="eastAsia" w:ascii="黑体" w:hAnsi="黑体" w:eastAsia="黑体" w:cs="宋体"/>
          <w:color w:val="auto"/>
          <w:sz w:val="32"/>
          <w:szCs w:val="32"/>
          <w:highlight w:val="none"/>
          <w:lang w:val="en-US" w:eastAsia="zh-CN"/>
        </w:rPr>
        <w:t>九、约定事项的变更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因本合同签订后，如果出现未预见情况，影响本合同全部或部分约定内容的执行，经双方协商一致可以变更以上约定事项。</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lang w:val="en-US" w:eastAsia="zh-CN"/>
        </w:rPr>
      </w:pPr>
      <w:r>
        <w:rPr>
          <w:rFonts w:hint="eastAsia" w:ascii="黑体" w:hAnsi="黑体" w:eastAsia="黑体" w:cs="宋体"/>
          <w:color w:val="auto"/>
          <w:sz w:val="32"/>
          <w:szCs w:val="32"/>
          <w:highlight w:val="none"/>
          <w:lang w:val="en-US" w:eastAsia="zh-CN"/>
        </w:rPr>
        <w:t>十、违约责任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bookmarkStart w:id="4" w:name="_Toc308164859"/>
      <w:bookmarkStart w:id="5" w:name="_Toc217446114"/>
      <w:r>
        <w:rPr>
          <w:rFonts w:hint="eastAsia" w:ascii="仿宋" w:hAnsi="仿宋" w:eastAsia="仿宋" w:cs="仿宋"/>
          <w:color w:val="auto"/>
          <w:kern w:val="2"/>
          <w:sz w:val="32"/>
          <w:szCs w:val="32"/>
          <w:highlight w:val="none"/>
          <w:lang w:val="en-US" w:eastAsia="zh-CN" w:bidi="ar-SA"/>
        </w:rPr>
        <w:t>由于甲方变更计划，或未及时提供审计所需全部资料(或工作条件)而造成乙方反工、窝工或修改报告，乙方可合理延期出具审计报告；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如因甲方原因导致本项目中途停止，甲方已支付费用扣除合理费用(由双方协商认可)后，应退还甲方: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除因甲方原因以外，乙方未在合同规定期限内提交审计报告，甲方可以拒绝支付服务费用直至乙方向甲方交付审计报告，且每迟延1日，乙方应向甲方支付审计费用的5 %作为违约金，甲方有权从廉政和履约保证金以及最终支付的审计费用中扣除。迟延达20日的，甲方有权解除本合同，并要求乙方退回其已支付的审计费用，且乙方应赔偿甲方由此遭受的损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乙方提交的审计报告不符合甲方相关要求及国家、行业协会相关规定的，其应向甲方赔偿由此遭受的损失。同时，甲方有权要求乙方自付费用重新进行审计且不免除乙方违约责任。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如本合同任何一方违反上述条款，都应负责赔偿由此而给对方造成的合理损失。</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rPr>
      </w:pPr>
      <w:r>
        <w:rPr>
          <w:rFonts w:hint="eastAsia" w:ascii="黑体" w:hAnsi="黑体" w:eastAsia="黑体" w:cs="宋体"/>
          <w:color w:val="auto"/>
          <w:sz w:val="32"/>
          <w:szCs w:val="32"/>
          <w:highlight w:val="none"/>
          <w:lang w:val="en-US" w:eastAsia="zh-CN"/>
        </w:rPr>
        <w:t>十一</w:t>
      </w:r>
      <w:r>
        <w:rPr>
          <w:rFonts w:hint="eastAsia" w:ascii="黑体" w:hAnsi="黑体" w:eastAsia="黑体" w:cs="宋体"/>
          <w:color w:val="auto"/>
          <w:sz w:val="32"/>
          <w:szCs w:val="32"/>
          <w:highlight w:val="none"/>
        </w:rPr>
        <w:t>、争议解决办法</w:t>
      </w:r>
      <w:bookmarkEnd w:id="4"/>
      <w:bookmarkEnd w:id="5"/>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bookmarkStart w:id="6" w:name="_Toc308164860"/>
      <w:r>
        <w:rPr>
          <w:rFonts w:hint="eastAsia" w:ascii="仿宋" w:hAnsi="仿宋" w:eastAsia="仿宋" w:cs="仿宋"/>
          <w:color w:val="auto"/>
          <w:kern w:val="2"/>
          <w:sz w:val="32"/>
          <w:szCs w:val="32"/>
          <w:highlight w:val="none"/>
          <w:lang w:val="en-US" w:eastAsia="zh-CN" w:bidi="ar-SA"/>
        </w:rPr>
        <w:t>合同履行期间,若双方发生争议，可协商或由有关部门调解解决，协商或调解不成的，由当事人依法向西昌市人民法院提起诉讼。</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rPr>
      </w:pPr>
      <w:r>
        <w:rPr>
          <w:rFonts w:hint="eastAsia" w:ascii="黑体" w:hAnsi="黑体" w:eastAsia="黑体" w:cs="宋体"/>
          <w:color w:val="auto"/>
          <w:sz w:val="32"/>
          <w:szCs w:val="32"/>
          <w:highlight w:val="none"/>
        </w:rPr>
        <w:t>十</w:t>
      </w:r>
      <w:r>
        <w:rPr>
          <w:rFonts w:hint="eastAsia" w:ascii="黑体" w:hAnsi="黑体" w:eastAsia="黑体" w:cs="宋体"/>
          <w:color w:val="auto"/>
          <w:sz w:val="32"/>
          <w:szCs w:val="32"/>
          <w:highlight w:val="none"/>
          <w:lang w:val="en-US" w:eastAsia="zh-CN"/>
        </w:rPr>
        <w:t>二</w:t>
      </w:r>
      <w:r>
        <w:rPr>
          <w:rFonts w:hint="eastAsia" w:ascii="黑体" w:hAnsi="黑体" w:eastAsia="黑体" w:cs="宋体"/>
          <w:color w:val="auto"/>
          <w:sz w:val="32"/>
          <w:szCs w:val="32"/>
          <w:highlight w:val="none"/>
        </w:rPr>
        <w:t>、其他</w:t>
      </w:r>
      <w:bookmarkEnd w:id="6"/>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1、如有未尽事宜，由双方依法订立补充合同。</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2、本合同双方应加盖骑缝章。</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3、本合同一式 八 份，甲方执 六 份、乙方执 二 份合同，并具有同等法律效力。</w:t>
      </w:r>
    </w:p>
    <w:p>
      <w:pPr>
        <w:pStyle w:val="10"/>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甲方：凉山州国有交通投资发     乙方：（盖章）</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展集团有限责任公司(盖章）</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法定代表人或授权代表人：       法定代表人或授权代表人：</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地址：西昌市长安东路53号      地址：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pStyle w:val="6"/>
        <w:pageBreakBefore/>
        <w:spacing w:line="480" w:lineRule="auto"/>
        <w:ind w:left="403" w:leftChars="192"/>
        <w:jc w:val="center"/>
        <w:rPr>
          <w:rFonts w:hint="eastAsia" w:ascii="宋体" w:hAnsi="宋体" w:eastAsia="宋体" w:cs="宋体"/>
          <w:b/>
          <w:bCs w:val="0"/>
          <w:color w:val="auto"/>
          <w:kern w:val="0"/>
          <w:sz w:val="44"/>
          <w:szCs w:val="44"/>
          <w:highlight w:val="none"/>
          <w:lang w:val="en-US" w:eastAsia="zh-CN" w:bidi="ar-SA"/>
        </w:rPr>
      </w:pPr>
      <w:r>
        <w:rPr>
          <w:rFonts w:hint="eastAsia" w:ascii="宋体" w:hAnsi="宋体" w:eastAsia="宋体" w:cs="宋体"/>
          <w:b/>
          <w:bCs w:val="0"/>
          <w:color w:val="auto"/>
          <w:kern w:val="0"/>
          <w:sz w:val="44"/>
          <w:szCs w:val="44"/>
          <w:highlight w:val="none"/>
          <w:lang w:val="en-US" w:eastAsia="zh-CN" w:bidi="ar-SA"/>
        </w:rPr>
        <w:t>廉政合同</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甲方：凉山州国有交通投资发展集团有限责任公司</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乙方： </w:t>
      </w:r>
      <w:r>
        <w:rPr>
          <w:rFonts w:hint="eastAsia" w:ascii="仿宋" w:hAnsi="仿宋" w:eastAsia="仿宋" w:cs="仿宋"/>
          <w:b/>
          <w:bCs/>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为加强审计工作的廉政建设，规范经责审计活动中比选人和比选申请人双方的行为，防止谋取不正当利益的违法违纪现象的发生，保护国家、集体和当事人的合法权益，根据国家有关审计的法律法规和廉政建设的有关规定，订立本廉政合同。</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1.应严格遵守国家《审计法》的有关法律法规、相关政策以及廉政建设的各项规定。</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2.严格执行审计合同文件，自觉按合同办事。</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3.各项活动必须坚持公开、公平、公正、诚信、透明的原则（除法律法规另有规定者外）。</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4.不得为获取不正当的利益而损害国家、集体和当事人利益，不得违反审计相关规章制度。</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 不得向被审计单位索要或接受回扣、礼金、有价证券、贵重物品和好处费、感谢费等。</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 不得向被审计单位要求报销任何应由受托人或个人支付的费用。</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 不得参加有可能影响公正执行公务的被审计单位和相关单位的宴请、健身、娱乐等活动。不得接受被审计单位提供的通讯工具、交通工具和高端办公用品。</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8.违反本合同相关责任行为的，依据有关法律法规和党纪政纪给予处理；涉嫌犯罪的，移交司法机关追究刑事责任；给当事各方造成经济损失的，应予以赔偿。</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9.合同有效期：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本合同的有效期为双方签署之日起至取得合格的审计报告时止。</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10.责任书份数：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本合同一式贰份，签约双方各执壹份，具有同等效力。</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委托人（公章)：________     受托人 (公章)：_______</w:t>
      </w:r>
    </w:p>
    <w:p>
      <w:pPr>
        <w:pStyle w:val="10"/>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法定代表人(签字)             法定代表人(签字)</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或委托代理人(签字)：         或委托代理人(签字)：</w:t>
      </w:r>
    </w:p>
    <w:p>
      <w:pPr>
        <w:pStyle w:val="10"/>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color w:val="auto"/>
          <w:sz w:val="44"/>
          <w:szCs w:val="44"/>
          <w:highlight w:val="none"/>
        </w:rPr>
      </w:pPr>
      <w:r>
        <w:rPr>
          <w:rFonts w:hint="eastAsia" w:ascii="仿宋" w:hAnsi="仿宋" w:eastAsia="仿宋" w:cs="仿宋"/>
          <w:color w:val="auto"/>
          <w:kern w:val="2"/>
          <w:sz w:val="32"/>
          <w:szCs w:val="32"/>
          <w:highlight w:val="none"/>
          <w:lang w:val="en-US" w:eastAsia="zh-CN" w:bidi="ar-SA"/>
        </w:rPr>
        <w:t>日期：___年___月___日        日期：___年____月____日</w:t>
      </w:r>
    </w:p>
    <w:p>
      <w:pPr>
        <w:pStyle w:val="32"/>
        <w:keepNext w:val="0"/>
        <w:keepLines w:val="0"/>
        <w:pageBreakBefore/>
        <w:widowControl/>
        <w:kinsoku/>
        <w:wordWrap/>
        <w:overflowPunct/>
        <w:topLinePunct w:val="0"/>
        <w:autoSpaceDE/>
        <w:autoSpaceDN/>
        <w:bidi w:val="0"/>
        <w:adjustRightInd/>
        <w:snapToGrid/>
        <w:spacing w:before="0" w:beforeAutospacing="0" w:after="0" w:afterAutospacing="0" w:line="500" w:lineRule="exact"/>
        <w:jc w:val="center"/>
        <w:textAlignment w:val="auto"/>
        <w:rPr>
          <w:rFonts w:ascii="黑体" w:hAnsi="黑体" w:eastAsia="黑体"/>
          <w:b/>
          <w:color w:val="auto"/>
          <w:sz w:val="44"/>
          <w:szCs w:val="44"/>
          <w:highlight w:val="none"/>
        </w:rPr>
      </w:pPr>
      <w:r>
        <w:rPr>
          <w:rFonts w:hint="eastAsia" w:ascii="黑体" w:hAnsi="黑体" w:eastAsia="黑体" w:cs="Arial"/>
          <w:b/>
          <w:color w:val="auto"/>
          <w:sz w:val="44"/>
          <w:szCs w:val="44"/>
          <w:highlight w:val="none"/>
        </w:rPr>
        <w:t>第三部分</w:t>
      </w:r>
      <w:r>
        <w:rPr>
          <w:rFonts w:ascii="黑体" w:hAnsi="黑体" w:eastAsia="黑体" w:cs="Arial"/>
          <w:b/>
          <w:color w:val="auto"/>
          <w:sz w:val="44"/>
          <w:szCs w:val="44"/>
          <w:highlight w:val="none"/>
        </w:rPr>
        <w:t xml:space="preserve">  </w:t>
      </w:r>
      <w:r>
        <w:rPr>
          <w:rFonts w:hint="eastAsia" w:ascii="黑体" w:hAnsi="黑体" w:eastAsia="黑体" w:cs="Arial"/>
          <w:b/>
          <w:color w:val="auto"/>
          <w:sz w:val="44"/>
          <w:szCs w:val="44"/>
          <w:highlight w:val="none"/>
        </w:rPr>
        <w:t>附件部分</w:t>
      </w:r>
    </w:p>
    <w:p>
      <w:pPr>
        <w:pStyle w:val="5"/>
        <w:keepNext w:val="0"/>
        <w:pageBreakBefore/>
        <w:spacing w:before="156" w:beforeLines="50" w:after="156" w:afterLines="50" w:line="520" w:lineRule="exact"/>
        <w:ind w:firstLine="0" w:firstLineChars="0"/>
        <w:jc w:val="left"/>
        <w:rPr>
          <w:rFonts w:ascii="仿宋" w:hAnsi="仿宋" w:eastAsia="仿宋" w:cs="Arial"/>
          <w:color w:val="auto"/>
          <w:kern w:val="44"/>
          <w:sz w:val="44"/>
          <w:szCs w:val="44"/>
          <w:highlight w:val="none"/>
        </w:rPr>
      </w:pPr>
      <w:bookmarkStart w:id="7" w:name="_Toc319145227"/>
      <w:r>
        <w:rPr>
          <w:rFonts w:hint="eastAsia" w:ascii="仿宋" w:hAnsi="仿宋" w:eastAsia="仿宋" w:cs="Arial"/>
          <w:color w:val="auto"/>
          <w:kern w:val="44"/>
          <w:sz w:val="44"/>
          <w:szCs w:val="44"/>
          <w:highlight w:val="none"/>
        </w:rPr>
        <w:t>附件一</w:t>
      </w:r>
    </w:p>
    <w:p>
      <w:pPr>
        <w:pStyle w:val="5"/>
        <w:keepNext w:val="0"/>
        <w:spacing w:before="156" w:beforeLines="50" w:after="156" w:afterLines="50" w:line="520" w:lineRule="exact"/>
        <w:ind w:firstLine="0" w:firstLineChars="0"/>
        <w:jc w:val="center"/>
        <w:rPr>
          <w:rFonts w:hint="eastAsia" w:ascii="宋体" w:hAnsi="宋体" w:eastAsia="宋体" w:cs="宋体"/>
          <w:b/>
          <w:bCs w:val="0"/>
          <w:color w:val="auto"/>
          <w:kern w:val="0"/>
          <w:sz w:val="44"/>
          <w:szCs w:val="44"/>
          <w:highlight w:val="none"/>
          <w:lang w:val="en-US" w:eastAsia="zh-CN" w:bidi="ar-SA"/>
        </w:rPr>
      </w:pPr>
      <w:r>
        <w:rPr>
          <w:rFonts w:hint="eastAsia" w:ascii="宋体" w:hAnsi="宋体" w:eastAsia="宋体" w:cs="宋体"/>
          <w:b/>
          <w:bCs w:val="0"/>
          <w:color w:val="auto"/>
          <w:kern w:val="0"/>
          <w:sz w:val="44"/>
          <w:szCs w:val="44"/>
          <w:highlight w:val="none"/>
          <w:lang w:val="en-US" w:eastAsia="zh-CN" w:bidi="ar-SA"/>
        </w:rPr>
        <w:t>一、比选申请函</w:t>
      </w:r>
      <w:bookmarkEnd w:id="7"/>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致：凉山州国有交通投资发展集团有限责任公司 </w:t>
      </w:r>
      <w:r>
        <w:rPr>
          <w:rFonts w:hint="eastAsia" w:ascii="仿宋" w:hAnsi="仿宋" w:eastAsia="仿宋" w:cs="仿宋"/>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一、我公司审阅并完全理解和接受你方所提供的所有比选文件相关条款和要求，以下签字人作为</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（比选申请人全称）合法行使其职责的代表为获得</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（项目名称）</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u w:val="none"/>
          <w:lang w:val="en-US" w:eastAsia="zh-CN" w:bidi="ar-SA"/>
        </w:rPr>
        <w:t>标段</w:t>
      </w:r>
      <w:r>
        <w:rPr>
          <w:rFonts w:hint="eastAsia" w:ascii="仿宋" w:hAnsi="仿宋" w:eastAsia="仿宋" w:cs="仿宋"/>
          <w:color w:val="auto"/>
          <w:kern w:val="2"/>
          <w:sz w:val="32"/>
          <w:szCs w:val="32"/>
          <w:highlight w:val="none"/>
          <w:lang w:val="en-US" w:eastAsia="zh-CN" w:bidi="ar-SA"/>
        </w:rPr>
        <w:t>的合同参加你们组织的审计中介服务机构比选。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我方已详细阅读并理解全部比选文件，包括有关附件，同时我公司对提交的比选申请文件负责。你方的机构或授权代表在此被授权可对我公司进行查询或调查，以证实有关本申请提交的声明、文件和资料的真实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三、我公司完全理解比选人因法律和政策原因取消比选以及拒绝所有的比选申请文件，并对此类任何行动不承担任何责任，亦无义务向比选申请人解释其原因。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四、我公司对提交材料中的所有陈述和声明的真实性和正确性负责。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五、我方完全接受比选文件合同条款。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六、在仔细研究了比选文件，并结合本公司的实际情况后，在实施 </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（项目名称）</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u w:val="none"/>
          <w:lang w:val="en-US" w:eastAsia="zh-CN" w:bidi="ar-SA"/>
        </w:rPr>
        <w:t>标段</w:t>
      </w:r>
      <w:r>
        <w:rPr>
          <w:rFonts w:hint="eastAsia" w:ascii="仿宋" w:hAnsi="仿宋" w:eastAsia="仿宋" w:cs="仿宋"/>
          <w:color w:val="auto"/>
          <w:kern w:val="2"/>
          <w:sz w:val="32"/>
          <w:szCs w:val="32"/>
          <w:highlight w:val="none"/>
          <w:lang w:val="en-US" w:eastAsia="zh-CN" w:bidi="ar-SA"/>
        </w:rPr>
        <w:t>竣工财务决算审计项目中，我方愿意以人民币（大写）</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元（¥</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）的报价，提供相关服务。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若合同执行期内有新的政策指导文件出台，我公司承诺不再调整收费计列标准及所报取费比例。此费用已包含所有为完成合同规定工作内容的全部费用，我公司不再以任何理由向你方收取其它任何费用。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七、我公司承诺：我公司具有良好的商业信誉和健全的会计制度，具有履行合同所必需的设备和专业技术能力，有依法缴纳税收和社会保障资金的良好记录。近3年内未因工作质量等问题受到相关行政主管部门行政处罚或市场禁入。如我公司提供的服务不能满足比选人的要求，比选人可随时更换，我公司对此无异议。我公司对所出具的《审计报告》保证审计结果的客观公正、定性准确、真实有效。</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3200" w:firstLineChars="10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比选申请人：（全称、盖章）             </w:t>
      </w:r>
    </w:p>
    <w:p>
      <w:pPr>
        <w:keepNext w:val="0"/>
        <w:keepLines w:val="0"/>
        <w:pageBreakBefore w:val="0"/>
        <w:widowControl w:val="0"/>
        <w:kinsoku/>
        <w:wordWrap/>
        <w:overflowPunct/>
        <w:topLinePunct w:val="0"/>
        <w:autoSpaceDE/>
        <w:autoSpaceDN/>
        <w:bidi w:val="0"/>
        <w:adjustRightInd/>
        <w:snapToGrid/>
        <w:spacing w:line="420" w:lineRule="atLeast"/>
        <w:ind w:firstLine="2880" w:firstLineChars="9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法定代表人或委托代理人：（签字）          </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firstLine="5440" w:firstLineChars="17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年  月  日</w:t>
      </w:r>
    </w:p>
    <w:p>
      <w:pPr>
        <w:spacing w:line="360" w:lineRule="auto"/>
        <w:ind w:firstLine="880" w:firstLineChars="200"/>
        <w:jc w:val="center"/>
        <w:rPr>
          <w:rFonts w:hint="eastAsia" w:ascii="仿宋_GB2312" w:hAnsi="&amp;quot" w:eastAsia="仿宋_GB2312"/>
          <w:color w:val="auto"/>
          <w:sz w:val="44"/>
          <w:szCs w:val="44"/>
          <w:highlight w:val="none"/>
        </w:rPr>
      </w:pPr>
      <w:r>
        <w:rPr>
          <w:rFonts w:hint="eastAsia" w:ascii="仿宋_GB2312" w:hAnsi="&amp;quot" w:eastAsia="仿宋_GB2312"/>
          <w:color w:val="auto"/>
          <w:sz w:val="44"/>
          <w:szCs w:val="44"/>
          <w:highlight w:val="none"/>
        </w:rPr>
        <w:br w:type="page"/>
      </w:r>
    </w:p>
    <w:p>
      <w:pPr>
        <w:pageBreakBefore/>
        <w:spacing w:before="156" w:beforeLines="50" w:after="156" w:afterLines="50" w:line="520" w:lineRule="exact"/>
        <w:jc w:val="left"/>
        <w:outlineLvl w:val="1"/>
        <w:rPr>
          <w:rFonts w:ascii="仿宋" w:hAnsi="仿宋" w:eastAsia="仿宋" w:cs="Arial"/>
          <w:b/>
          <w:bCs/>
          <w:color w:val="auto"/>
          <w:kern w:val="44"/>
          <w:sz w:val="44"/>
          <w:szCs w:val="44"/>
          <w:highlight w:val="none"/>
        </w:rPr>
      </w:pPr>
      <w:r>
        <w:rPr>
          <w:rFonts w:hint="eastAsia" w:ascii="仿宋" w:hAnsi="仿宋" w:eastAsia="仿宋" w:cs="Arial"/>
          <w:b/>
          <w:bCs/>
          <w:color w:val="auto"/>
          <w:kern w:val="44"/>
          <w:sz w:val="44"/>
          <w:szCs w:val="44"/>
          <w:highlight w:val="none"/>
        </w:rPr>
        <w:t>附件二</w:t>
      </w:r>
    </w:p>
    <w:p>
      <w:pPr>
        <w:spacing w:line="360" w:lineRule="auto"/>
        <w:ind w:firstLine="883" w:firstLineChars="200"/>
        <w:jc w:val="center"/>
        <w:rPr>
          <w:rFonts w:hint="eastAsia" w:ascii="宋体" w:hAnsi="宋体" w:eastAsia="宋体" w:cs="宋体"/>
          <w:b/>
          <w:bCs w:val="0"/>
          <w:color w:val="auto"/>
          <w:kern w:val="0"/>
          <w:sz w:val="44"/>
          <w:szCs w:val="44"/>
          <w:highlight w:val="none"/>
          <w:lang w:val="en-US" w:eastAsia="zh-CN" w:bidi="ar-SA"/>
        </w:rPr>
      </w:pPr>
      <w:r>
        <w:rPr>
          <w:rFonts w:hint="eastAsia" w:ascii="宋体" w:hAnsi="宋体" w:eastAsia="宋体" w:cs="宋体"/>
          <w:b/>
          <w:bCs w:val="0"/>
          <w:color w:val="auto"/>
          <w:kern w:val="0"/>
          <w:sz w:val="44"/>
          <w:szCs w:val="44"/>
          <w:highlight w:val="none"/>
          <w:lang w:val="en-US" w:eastAsia="zh-CN" w:bidi="ar-SA"/>
        </w:rPr>
        <w:t>二、法定代表人身份证明</w:t>
      </w:r>
    </w:p>
    <w:p>
      <w:pPr>
        <w:spacing w:line="600" w:lineRule="exact"/>
        <w:rPr>
          <w:rFonts w:ascii="仿宋" w:hAnsi="仿宋" w:eastAsia="仿宋" w:cs="Arial"/>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单位名称:</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单位性质:</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地    址:</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成立时间:</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年</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月</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u w:val="single"/>
          <w:lang w:val="en-US" w:eastAsia="zh-CN" w:bidi="ar-SA"/>
        </w:rPr>
      </w:pPr>
      <w:r>
        <w:rPr>
          <w:rFonts w:hint="eastAsia" w:ascii="仿宋" w:hAnsi="仿宋" w:eastAsia="仿宋" w:cs="仿宋"/>
          <w:color w:val="auto"/>
          <w:kern w:val="2"/>
          <w:sz w:val="32"/>
          <w:szCs w:val="32"/>
          <w:highlight w:val="none"/>
          <w:lang w:val="en-US" w:eastAsia="zh-CN" w:bidi="ar-SA"/>
        </w:rPr>
        <w:t xml:space="preserve">经营期限: </w:t>
      </w:r>
      <w:r>
        <w:rPr>
          <w:rFonts w:hint="eastAsia" w:ascii="仿宋" w:hAnsi="仿宋" w:eastAsia="仿宋" w:cs="仿宋"/>
          <w:color w:val="auto"/>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姓 名:</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性 别:</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年 龄:</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 xml:space="preserve">    职 务:</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系</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的法定代表人。</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特此证明。</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比选申请人: (盖公章)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日 期:   年  月   日</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3" w:firstLineChars="200"/>
        <w:jc w:val="left"/>
        <w:textAlignment w:val="auto"/>
        <w:rPr>
          <w:rFonts w:ascii="仿宋" w:hAnsi="仿宋" w:eastAsia="仿宋" w:cs="Arial"/>
          <w:color w:val="auto"/>
          <w:sz w:val="44"/>
          <w:szCs w:val="44"/>
          <w:highlight w:val="none"/>
        </w:rPr>
      </w:pPr>
      <w:r>
        <w:rPr>
          <w:rFonts w:hint="eastAsia" w:ascii="仿宋" w:hAnsi="仿宋" w:eastAsia="仿宋" w:cs="仿宋"/>
          <w:b/>
          <w:bCs/>
          <w:color w:val="auto"/>
          <w:kern w:val="2"/>
          <w:sz w:val="32"/>
          <w:szCs w:val="32"/>
          <w:highlight w:val="none"/>
          <w:lang w:val="en-US" w:eastAsia="zh-CN" w:bidi="ar-SA"/>
        </w:rPr>
        <w:t>附：法定代表人身份证复印件。</w:t>
      </w:r>
    </w:p>
    <w:p>
      <w:pPr>
        <w:pStyle w:val="5"/>
        <w:keepNext w:val="0"/>
        <w:pageBreakBefore/>
        <w:spacing w:before="156" w:beforeLines="50" w:after="156" w:afterLines="50" w:line="520" w:lineRule="exact"/>
        <w:ind w:firstLine="0" w:firstLineChars="0"/>
        <w:jc w:val="left"/>
        <w:rPr>
          <w:rFonts w:hint="eastAsia" w:ascii="仿宋" w:hAnsi="仿宋" w:eastAsia="仿宋" w:cs="Arial"/>
          <w:b/>
          <w:bCs/>
          <w:color w:val="auto"/>
          <w:kern w:val="44"/>
          <w:sz w:val="44"/>
          <w:szCs w:val="44"/>
          <w:highlight w:val="none"/>
          <w:lang w:val="en-US" w:eastAsia="zh-CN" w:bidi="ar-SA"/>
        </w:rPr>
      </w:pPr>
      <w:r>
        <w:rPr>
          <w:rFonts w:hint="eastAsia" w:ascii="仿宋" w:hAnsi="仿宋" w:eastAsia="仿宋" w:cs="Arial"/>
          <w:b/>
          <w:bCs/>
          <w:color w:val="auto"/>
          <w:kern w:val="44"/>
          <w:sz w:val="44"/>
          <w:szCs w:val="44"/>
          <w:highlight w:val="none"/>
          <w:lang w:val="en-US" w:eastAsia="zh-CN" w:bidi="ar-SA"/>
        </w:rPr>
        <w:t>附件三</w:t>
      </w:r>
    </w:p>
    <w:p>
      <w:pPr>
        <w:pStyle w:val="5"/>
        <w:spacing w:before="156" w:beforeLines="50" w:after="156" w:afterLines="50"/>
        <w:ind w:firstLine="0" w:firstLineChars="0"/>
        <w:jc w:val="center"/>
        <w:rPr>
          <w:rFonts w:hint="eastAsia" w:ascii="宋体" w:hAnsi="宋体" w:eastAsia="宋体" w:cs="宋体"/>
          <w:b/>
          <w:bCs w:val="0"/>
          <w:color w:val="auto"/>
          <w:kern w:val="0"/>
          <w:sz w:val="44"/>
          <w:szCs w:val="44"/>
          <w:highlight w:val="none"/>
          <w:lang w:val="en-US" w:eastAsia="zh-CN" w:bidi="ar-SA"/>
        </w:rPr>
      </w:pPr>
      <w:bookmarkStart w:id="8" w:name="_Toc319145228"/>
      <w:r>
        <w:rPr>
          <w:rFonts w:hint="eastAsia" w:ascii="宋体" w:hAnsi="宋体" w:eastAsia="宋体" w:cs="宋体"/>
          <w:b/>
          <w:bCs w:val="0"/>
          <w:color w:val="auto"/>
          <w:kern w:val="0"/>
          <w:sz w:val="44"/>
          <w:szCs w:val="44"/>
          <w:highlight w:val="none"/>
          <w:lang w:val="en-US" w:eastAsia="zh-CN" w:bidi="ar-SA"/>
        </w:rPr>
        <w:t>三、授权委托书</w:t>
      </w:r>
      <w:bookmarkEnd w:id="8"/>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本人</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（姓名）系</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（比选申请人）的法定代表人，现委托</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（姓名）为我方代理人。代理人根据授权，以我方名义签暑、澄清、说明、补正、递交、撤回、修改（项目名称）</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的比选申请文件和处理有关事宜，其法律后果由我方承担。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u w:val="single"/>
          <w:lang w:val="en-US" w:eastAsia="zh-CN" w:bidi="ar-SA"/>
        </w:rPr>
      </w:pPr>
      <w:r>
        <w:rPr>
          <w:rFonts w:hint="eastAsia" w:ascii="仿宋" w:hAnsi="仿宋" w:eastAsia="仿宋" w:cs="仿宋"/>
          <w:color w:val="auto"/>
          <w:kern w:val="2"/>
          <w:sz w:val="32"/>
          <w:szCs w:val="32"/>
          <w:highlight w:val="none"/>
          <w:lang w:val="en-US" w:eastAsia="zh-CN" w:bidi="ar-SA"/>
        </w:rPr>
        <w:t>委托期限：</w:t>
      </w:r>
      <w:r>
        <w:rPr>
          <w:rFonts w:hint="eastAsia" w:ascii="仿宋" w:hAnsi="仿宋" w:eastAsia="仿宋" w:cs="仿宋"/>
          <w:color w:val="auto"/>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代理人无转委托权。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特此委托。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附：（1）法定代表人身份证明和法定代表人身份证复印件。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（2）委托代理人身份证复印件、投标申请人为其缴纳的养老保险（提供最近6个月连续缴费证明）复印件。</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3840" w:firstLineChars="1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比选申请人：</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（盖单位章）</w:t>
      </w:r>
    </w:p>
    <w:p>
      <w:pPr>
        <w:keepNext w:val="0"/>
        <w:keepLines w:val="0"/>
        <w:pageBreakBefore w:val="0"/>
        <w:widowControl w:val="0"/>
        <w:kinsoku/>
        <w:wordWrap/>
        <w:overflowPunct/>
        <w:topLinePunct w:val="0"/>
        <w:autoSpaceDE/>
        <w:autoSpaceDN/>
        <w:bidi w:val="0"/>
        <w:adjustRightInd/>
        <w:snapToGrid/>
        <w:spacing w:line="420" w:lineRule="atLeast"/>
        <w:ind w:firstLine="3840" w:firstLineChars="1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法定代表人：</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（签字或盖章）</w:t>
      </w:r>
    </w:p>
    <w:p>
      <w:pPr>
        <w:keepNext w:val="0"/>
        <w:keepLines w:val="0"/>
        <w:pageBreakBefore w:val="0"/>
        <w:widowControl w:val="0"/>
        <w:kinsoku/>
        <w:wordWrap/>
        <w:overflowPunct/>
        <w:topLinePunct w:val="0"/>
        <w:autoSpaceDE/>
        <w:autoSpaceDN/>
        <w:bidi w:val="0"/>
        <w:adjustRightInd/>
        <w:snapToGrid/>
        <w:spacing w:line="420" w:lineRule="atLeast"/>
        <w:ind w:firstLine="3840" w:firstLineChars="1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委托代理人：</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 xml:space="preserve">（签字）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年      月      日</w:t>
      </w:r>
    </w:p>
    <w:p>
      <w:pPr>
        <w:keepNext w:val="0"/>
        <w:keepLines w:val="0"/>
        <w:pageBreakBefore w:val="0"/>
        <w:widowControl w:val="0"/>
        <w:kinsoku/>
        <w:wordWrap/>
        <w:overflowPunct/>
        <w:topLinePunct w:val="0"/>
        <w:autoSpaceDE/>
        <w:autoSpaceDN/>
        <w:bidi w:val="0"/>
        <w:adjustRightInd/>
        <w:snapToGrid/>
        <w:spacing w:line="420" w:lineRule="atLeast"/>
        <w:ind w:firstLine="643" w:firstLineChars="200"/>
        <w:jc w:val="left"/>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注：本授权委托书为法定代表人不亲自投标而委托代理人投标适用。后附代理人身份证复印件。</w:t>
      </w:r>
    </w:p>
    <w:p>
      <w:pPr>
        <w:pStyle w:val="5"/>
        <w:spacing w:before="156" w:beforeLines="50" w:after="156" w:afterLines="50"/>
        <w:ind w:firstLine="0" w:firstLineChars="0"/>
        <w:jc w:val="center"/>
        <w:rPr>
          <w:rFonts w:ascii="仿宋" w:hAnsi="仿宋" w:eastAsia="仿宋" w:cs="Arial"/>
          <w:color w:val="auto"/>
          <w:kern w:val="44"/>
          <w:sz w:val="44"/>
          <w:szCs w:val="44"/>
          <w:highlight w:val="none"/>
        </w:rPr>
      </w:pPr>
      <w:bookmarkStart w:id="9" w:name="_Toc157235918"/>
      <w:bookmarkStart w:id="10" w:name="_Toc170621352"/>
      <w:bookmarkStart w:id="11" w:name="_Toc170621220"/>
      <w:r>
        <w:rPr>
          <w:rFonts w:ascii="仿宋" w:hAnsi="仿宋" w:eastAsia="仿宋" w:cs="Arial"/>
          <w:color w:val="auto"/>
          <w:kern w:val="44"/>
          <w:sz w:val="44"/>
          <w:szCs w:val="44"/>
          <w:highlight w:val="none"/>
        </w:rPr>
        <w:br w:type="page"/>
      </w:r>
      <w:bookmarkEnd w:id="9"/>
      <w:bookmarkEnd w:id="10"/>
      <w:bookmarkEnd w:id="11"/>
      <w:bookmarkStart w:id="12" w:name="_Toc157235922"/>
      <w:bookmarkStart w:id="13" w:name="_Toc170621356"/>
      <w:bookmarkStart w:id="14" w:name="_Toc319145230"/>
      <w:bookmarkStart w:id="15" w:name="_Toc170621224"/>
    </w:p>
    <w:p>
      <w:pPr>
        <w:pStyle w:val="5"/>
        <w:keepNext w:val="0"/>
        <w:pageBreakBefore/>
        <w:spacing w:before="156" w:beforeLines="50" w:after="156" w:afterLines="50" w:line="520" w:lineRule="exact"/>
        <w:ind w:firstLine="0" w:firstLineChars="0"/>
        <w:jc w:val="left"/>
        <w:rPr>
          <w:rFonts w:ascii="仿宋" w:hAnsi="仿宋" w:eastAsia="仿宋" w:cs="Arial"/>
          <w:color w:val="auto"/>
          <w:kern w:val="44"/>
          <w:sz w:val="44"/>
          <w:szCs w:val="44"/>
          <w:highlight w:val="none"/>
        </w:rPr>
      </w:pPr>
      <w:r>
        <w:rPr>
          <w:rFonts w:hint="eastAsia" w:ascii="仿宋" w:hAnsi="仿宋" w:eastAsia="仿宋" w:cs="Arial"/>
          <w:color w:val="auto"/>
          <w:kern w:val="44"/>
          <w:sz w:val="44"/>
          <w:szCs w:val="44"/>
          <w:highlight w:val="none"/>
        </w:rPr>
        <w:t>附件四：</w:t>
      </w:r>
    </w:p>
    <w:p>
      <w:pPr>
        <w:pStyle w:val="5"/>
        <w:spacing w:before="156" w:beforeLines="50" w:after="156" w:afterLines="50"/>
        <w:ind w:firstLine="0" w:firstLineChars="0"/>
        <w:jc w:val="center"/>
        <w:rPr>
          <w:rFonts w:ascii="仿宋" w:hAnsi="仿宋" w:eastAsia="仿宋" w:cs="Arial"/>
          <w:b/>
          <w:color w:val="auto"/>
          <w:sz w:val="44"/>
          <w:szCs w:val="44"/>
          <w:highlight w:val="none"/>
        </w:rPr>
      </w:pPr>
      <w:r>
        <w:rPr>
          <w:rFonts w:hint="eastAsia" w:ascii="宋体" w:hAnsi="宋体" w:eastAsia="宋体" w:cs="宋体"/>
          <w:b/>
          <w:bCs w:val="0"/>
          <w:color w:val="auto"/>
          <w:kern w:val="0"/>
          <w:sz w:val="44"/>
          <w:szCs w:val="44"/>
          <w:highlight w:val="none"/>
          <w:lang w:val="en-US" w:eastAsia="zh-CN" w:bidi="ar-SA"/>
        </w:rPr>
        <w:t>四、比选申请人基本情况一览表</w:t>
      </w:r>
      <w:bookmarkEnd w:id="12"/>
      <w:bookmarkEnd w:id="13"/>
      <w:bookmarkEnd w:id="14"/>
      <w:bookmarkEnd w:id="15"/>
    </w:p>
    <w:tbl>
      <w:tblPr>
        <w:tblStyle w:val="21"/>
        <w:tblW w:w="9180" w:type="dxa"/>
        <w:tblInd w:w="2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21"/>
        <w:gridCol w:w="1095"/>
        <w:gridCol w:w="2745"/>
        <w:gridCol w:w="1350"/>
        <w:gridCol w:w="15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事务所名称</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单位地址</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注册性质</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75"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法定代表人（或合伙执行人）</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注册资金</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经营范围</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20" w:hRule="exact"/>
        </w:trPr>
        <w:tc>
          <w:tcPr>
            <w:tcW w:w="3516" w:type="dxa"/>
            <w:gridSpan w:val="2"/>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注册号（附营业执照复印件）</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邮政编码</w:t>
            </w:r>
          </w:p>
        </w:tc>
        <w:tc>
          <w:tcPr>
            <w:tcW w:w="1569" w:type="dxa"/>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营业期限</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注册会计师人数</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员工人数</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both"/>
              <w:textAlignment w:val="auto"/>
              <w:rPr>
                <w:rFonts w:hint="eastAsia" w:ascii="仿宋" w:hAnsi="仿宋" w:eastAsia="仿宋" w:cs="仿宋"/>
                <w:color w:val="auto"/>
                <w:kern w:val="2"/>
                <w:sz w:val="32"/>
                <w:szCs w:val="32"/>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3" w:firstLineChars="200"/>
        <w:jc w:val="left"/>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附：按第一章要求附相关证明材料复印件</w:t>
      </w:r>
    </w:p>
    <w:p>
      <w:pPr>
        <w:pStyle w:val="5"/>
        <w:spacing w:before="156" w:beforeLines="50" w:after="156" w:afterLines="50"/>
        <w:ind w:firstLine="0" w:firstLineChars="0"/>
        <w:jc w:val="center"/>
        <w:rPr>
          <w:rFonts w:ascii="仿宋" w:hAnsi="仿宋" w:eastAsia="仿宋" w:cs="Arial"/>
          <w:color w:val="auto"/>
          <w:sz w:val="44"/>
          <w:szCs w:val="44"/>
          <w:highlight w:val="none"/>
        </w:rPr>
      </w:pPr>
      <w:r>
        <w:rPr>
          <w:rFonts w:ascii="仿宋" w:hAnsi="仿宋" w:eastAsia="仿宋" w:cs="Arial"/>
          <w:color w:val="auto"/>
          <w:sz w:val="44"/>
          <w:szCs w:val="44"/>
          <w:highlight w:val="none"/>
        </w:rPr>
        <w:br w:type="page"/>
      </w:r>
      <w:bookmarkStart w:id="16" w:name="_Toc157235925"/>
      <w:bookmarkStart w:id="17" w:name="_Toc319145233"/>
      <w:bookmarkStart w:id="18" w:name="_Toc170621359"/>
      <w:bookmarkStart w:id="19" w:name="_Toc170621227"/>
    </w:p>
    <w:p>
      <w:pPr>
        <w:pStyle w:val="5"/>
        <w:keepNext w:val="0"/>
        <w:pageBreakBefore/>
        <w:spacing w:before="156" w:beforeLines="50" w:after="156" w:afterLines="50" w:line="520" w:lineRule="exact"/>
        <w:ind w:firstLine="0" w:firstLineChars="0"/>
        <w:jc w:val="left"/>
        <w:rPr>
          <w:rFonts w:ascii="仿宋" w:hAnsi="仿宋" w:eastAsia="仿宋" w:cs="Arial"/>
          <w:color w:val="auto"/>
          <w:kern w:val="44"/>
          <w:sz w:val="44"/>
          <w:szCs w:val="44"/>
          <w:highlight w:val="none"/>
        </w:rPr>
      </w:pPr>
      <w:r>
        <w:rPr>
          <w:rFonts w:hint="eastAsia" w:ascii="仿宋" w:hAnsi="仿宋" w:eastAsia="仿宋" w:cs="Arial"/>
          <w:color w:val="auto"/>
          <w:kern w:val="44"/>
          <w:sz w:val="44"/>
          <w:szCs w:val="44"/>
          <w:highlight w:val="none"/>
        </w:rPr>
        <w:t>附件五</w:t>
      </w:r>
    </w:p>
    <w:p>
      <w:pPr>
        <w:pStyle w:val="5"/>
        <w:spacing w:before="156" w:beforeLines="50" w:after="156" w:afterLines="50"/>
        <w:ind w:firstLine="0" w:firstLineChars="0"/>
        <w:jc w:val="center"/>
        <w:rPr>
          <w:rFonts w:ascii="仿宋" w:hAnsi="仿宋" w:eastAsia="仿宋" w:cs="Arial"/>
          <w:color w:val="auto"/>
          <w:sz w:val="44"/>
          <w:szCs w:val="44"/>
          <w:highlight w:val="none"/>
        </w:rPr>
      </w:pPr>
    </w:p>
    <w:p>
      <w:pPr>
        <w:pStyle w:val="5"/>
        <w:spacing w:before="156" w:beforeLines="50" w:after="156" w:afterLines="50"/>
        <w:ind w:firstLine="0" w:firstLineChars="0"/>
        <w:jc w:val="center"/>
        <w:rPr>
          <w:rFonts w:ascii="仿宋" w:hAnsi="仿宋" w:eastAsia="仿宋" w:cs="Arial"/>
          <w:color w:val="auto"/>
          <w:kern w:val="44"/>
          <w:sz w:val="44"/>
          <w:szCs w:val="44"/>
          <w:highlight w:val="none"/>
        </w:rPr>
      </w:pPr>
      <w:r>
        <w:rPr>
          <w:rFonts w:hint="eastAsia" w:ascii="仿宋" w:hAnsi="仿宋" w:eastAsia="仿宋" w:cs="Arial"/>
          <w:color w:val="auto"/>
          <w:kern w:val="44"/>
          <w:sz w:val="44"/>
          <w:szCs w:val="44"/>
          <w:highlight w:val="none"/>
        </w:rPr>
        <w:t>五</w:t>
      </w:r>
      <w:r>
        <w:rPr>
          <w:rFonts w:ascii="仿宋" w:hAnsi="仿宋" w:eastAsia="仿宋" w:cs="Arial"/>
          <w:color w:val="auto"/>
          <w:kern w:val="44"/>
          <w:sz w:val="44"/>
          <w:szCs w:val="44"/>
          <w:highlight w:val="none"/>
        </w:rPr>
        <w:t>、拟从事本项目</w:t>
      </w:r>
      <w:r>
        <w:rPr>
          <w:rFonts w:hint="eastAsia" w:ascii="仿宋" w:hAnsi="仿宋" w:eastAsia="仿宋" w:cs="Arial"/>
          <w:color w:val="auto"/>
          <w:kern w:val="44"/>
          <w:sz w:val="44"/>
          <w:szCs w:val="44"/>
          <w:highlight w:val="none"/>
        </w:rPr>
        <w:t>审计</w:t>
      </w:r>
      <w:r>
        <w:rPr>
          <w:rFonts w:ascii="仿宋" w:hAnsi="仿宋" w:eastAsia="仿宋" w:cs="Arial"/>
          <w:color w:val="auto"/>
          <w:kern w:val="44"/>
          <w:sz w:val="44"/>
          <w:szCs w:val="44"/>
          <w:highlight w:val="none"/>
        </w:rPr>
        <w:t>人员一览表</w:t>
      </w:r>
      <w:bookmarkEnd w:id="16"/>
      <w:bookmarkEnd w:id="17"/>
      <w:bookmarkEnd w:id="18"/>
      <w:bookmarkEnd w:id="19"/>
    </w:p>
    <w:p>
      <w:pPr>
        <w:ind w:left="180"/>
        <w:jc w:val="center"/>
        <w:rPr>
          <w:rFonts w:ascii="仿宋" w:hAnsi="仿宋" w:eastAsia="仿宋" w:cs="Arial"/>
          <w:b/>
          <w:color w:val="auto"/>
          <w:sz w:val="44"/>
          <w:szCs w:val="44"/>
          <w:highlight w:val="none"/>
        </w:rPr>
      </w:pPr>
    </w:p>
    <w:tbl>
      <w:tblPr>
        <w:tblStyle w:val="21"/>
        <w:tblW w:w="88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2"/>
        <w:gridCol w:w="1286"/>
        <w:gridCol w:w="1026"/>
        <w:gridCol w:w="1701"/>
        <w:gridCol w:w="1134"/>
        <w:gridCol w:w="2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atLeast"/>
          <w:jc w:val="center"/>
        </w:trPr>
        <w:tc>
          <w:tcPr>
            <w:tcW w:w="982"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序号</w:t>
            </w:r>
          </w:p>
        </w:tc>
        <w:tc>
          <w:tcPr>
            <w:tcW w:w="1286"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拟在本项目中任职</w:t>
            </w:r>
          </w:p>
        </w:tc>
        <w:tc>
          <w:tcPr>
            <w:tcW w:w="1026"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姓名</w:t>
            </w:r>
          </w:p>
        </w:tc>
        <w:tc>
          <w:tcPr>
            <w:tcW w:w="1701"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技术职称</w:t>
            </w:r>
          </w:p>
        </w:tc>
        <w:tc>
          <w:tcPr>
            <w:tcW w:w="1134"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专业</w:t>
            </w:r>
          </w:p>
        </w:tc>
        <w:tc>
          <w:tcPr>
            <w:tcW w:w="2693"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执业资格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982" w:type="dxa"/>
            <w:vMerge w:val="continue"/>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vMerge w:val="continue"/>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vMerge w:val="continue"/>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vMerge w:val="continue"/>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vMerge w:val="continue"/>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vMerge w:val="continue"/>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ascii="仿宋" w:hAnsi="仿宋" w:eastAsia="仿宋" w:cs="Arial"/>
          <w:b/>
          <w:bCs/>
          <w:color w:val="auto"/>
          <w:sz w:val="44"/>
          <w:szCs w:val="44"/>
          <w:highlight w:val="none"/>
        </w:rPr>
      </w:pPr>
      <w:r>
        <w:rPr>
          <w:rFonts w:hint="eastAsia" w:ascii="仿宋" w:hAnsi="仿宋" w:eastAsia="仿宋" w:cs="仿宋"/>
          <w:b/>
          <w:bCs/>
          <w:color w:val="auto"/>
          <w:kern w:val="2"/>
          <w:sz w:val="32"/>
          <w:szCs w:val="32"/>
          <w:highlight w:val="none"/>
          <w:lang w:val="en-US" w:eastAsia="zh-CN" w:bidi="ar-SA"/>
        </w:rPr>
        <w:t>附：按第一章要求附相关证明材料复印件</w:t>
      </w:r>
    </w:p>
    <w:p>
      <w:pPr>
        <w:pStyle w:val="5"/>
        <w:spacing w:before="156" w:beforeLines="50" w:after="156" w:afterLines="50"/>
        <w:ind w:firstLine="0" w:firstLineChars="0"/>
        <w:jc w:val="center"/>
        <w:rPr>
          <w:rFonts w:ascii="仿宋" w:hAnsi="仿宋" w:eastAsia="仿宋" w:cs="Arial"/>
          <w:color w:val="auto"/>
          <w:sz w:val="44"/>
          <w:szCs w:val="44"/>
          <w:highlight w:val="none"/>
        </w:rPr>
      </w:pPr>
      <w:r>
        <w:rPr>
          <w:rFonts w:ascii="仿宋" w:hAnsi="仿宋" w:eastAsia="仿宋" w:cs="Arial"/>
          <w:color w:val="auto"/>
          <w:sz w:val="44"/>
          <w:szCs w:val="44"/>
          <w:highlight w:val="none"/>
        </w:rPr>
        <w:br w:type="page"/>
      </w:r>
      <w:bookmarkStart w:id="20" w:name="_Toc170621361"/>
      <w:bookmarkStart w:id="21" w:name="_Toc319145235"/>
      <w:bookmarkStart w:id="22" w:name="_Toc157235927"/>
      <w:bookmarkStart w:id="23" w:name="_Toc170621229"/>
    </w:p>
    <w:p>
      <w:pPr>
        <w:pStyle w:val="5"/>
        <w:spacing w:before="156" w:beforeLines="50" w:after="156" w:afterLines="50"/>
        <w:ind w:firstLine="0" w:firstLineChars="0"/>
        <w:jc w:val="center"/>
        <w:rPr>
          <w:rFonts w:ascii="仿宋" w:hAnsi="仿宋" w:eastAsia="仿宋" w:cs="Arial"/>
          <w:color w:val="auto"/>
          <w:kern w:val="44"/>
          <w:sz w:val="44"/>
          <w:szCs w:val="44"/>
          <w:highlight w:val="none"/>
        </w:rPr>
      </w:pPr>
      <w:r>
        <w:rPr>
          <w:rFonts w:hint="eastAsia" w:ascii="仿宋" w:hAnsi="仿宋" w:eastAsia="仿宋" w:cs="Arial"/>
          <w:color w:val="auto"/>
          <w:kern w:val="44"/>
          <w:sz w:val="44"/>
          <w:szCs w:val="44"/>
          <w:highlight w:val="none"/>
        </w:rPr>
        <w:t>六</w:t>
      </w:r>
      <w:r>
        <w:rPr>
          <w:rFonts w:ascii="仿宋" w:hAnsi="仿宋" w:eastAsia="仿宋" w:cs="Arial"/>
          <w:color w:val="auto"/>
          <w:kern w:val="44"/>
          <w:sz w:val="44"/>
          <w:szCs w:val="44"/>
          <w:highlight w:val="none"/>
        </w:rPr>
        <w:t>、业绩一览表</w:t>
      </w:r>
      <w:bookmarkEnd w:id="20"/>
      <w:bookmarkEnd w:id="21"/>
      <w:bookmarkEnd w:id="22"/>
      <w:bookmarkEnd w:id="23"/>
    </w:p>
    <w:p>
      <w:pPr>
        <w:ind w:left="181"/>
        <w:jc w:val="center"/>
        <w:rPr>
          <w:rFonts w:ascii="仿宋" w:hAnsi="仿宋" w:eastAsia="仿宋" w:cs="Arial"/>
          <w:b/>
          <w:color w:val="auto"/>
          <w:sz w:val="44"/>
          <w:szCs w:val="44"/>
          <w:highlight w:val="none"/>
        </w:rPr>
      </w:pPr>
    </w:p>
    <w:tbl>
      <w:tblPr>
        <w:tblStyle w:val="2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504"/>
        <w:gridCol w:w="1749"/>
        <w:gridCol w:w="212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序号</w:t>
            </w: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项目名称</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甲方名称</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审计类型</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注：提供合同及完成的审计报告</w:t>
      </w:r>
      <w:bookmarkStart w:id="24" w:name="_Toc319145236"/>
      <w:bookmarkStart w:id="25" w:name="_Toc170621362"/>
      <w:bookmarkStart w:id="26" w:name="_Toc170621230"/>
      <w:bookmarkStart w:id="27" w:name="_Toc157235928"/>
    </w:p>
    <w:p>
      <w:pPr>
        <w:pStyle w:val="10"/>
        <w:rPr>
          <w:rFonts w:hint="eastAsia" w:ascii="仿宋" w:hAnsi="仿宋" w:eastAsia="仿宋" w:cs="仿宋"/>
          <w:b/>
          <w:bCs/>
          <w:color w:val="auto"/>
          <w:kern w:val="2"/>
          <w:sz w:val="32"/>
          <w:szCs w:val="32"/>
          <w:highlight w:val="none"/>
          <w:lang w:val="en-US" w:eastAsia="zh-CN" w:bidi="ar-SA"/>
        </w:rPr>
      </w:pPr>
    </w:p>
    <w:p>
      <w:pPr>
        <w:rPr>
          <w:rFonts w:hint="eastAsia" w:ascii="仿宋" w:hAnsi="仿宋" w:eastAsia="仿宋" w:cs="仿宋"/>
          <w:b/>
          <w:bCs/>
          <w:color w:val="auto"/>
          <w:kern w:val="2"/>
          <w:sz w:val="32"/>
          <w:szCs w:val="32"/>
          <w:highlight w:val="none"/>
          <w:lang w:val="en-US" w:eastAsia="zh-CN" w:bidi="ar-SA"/>
        </w:rPr>
      </w:pPr>
    </w:p>
    <w:p>
      <w:pPr>
        <w:pStyle w:val="10"/>
        <w:rPr>
          <w:rFonts w:hint="eastAsia" w:ascii="仿宋" w:hAnsi="仿宋" w:eastAsia="仿宋" w:cs="仿宋"/>
          <w:b/>
          <w:bCs/>
          <w:color w:val="auto"/>
          <w:kern w:val="2"/>
          <w:sz w:val="32"/>
          <w:szCs w:val="32"/>
          <w:highlight w:val="none"/>
          <w:lang w:val="en-US" w:eastAsia="zh-CN" w:bidi="ar-SA"/>
        </w:rPr>
      </w:pPr>
    </w:p>
    <w:p>
      <w:pPr>
        <w:rPr>
          <w:rFonts w:hint="eastAsia" w:ascii="仿宋" w:hAnsi="仿宋" w:eastAsia="仿宋" w:cs="仿宋"/>
          <w:b/>
          <w:bCs/>
          <w:color w:val="auto"/>
          <w:kern w:val="2"/>
          <w:sz w:val="32"/>
          <w:szCs w:val="32"/>
          <w:highlight w:val="none"/>
          <w:lang w:val="en-US" w:eastAsia="zh-CN" w:bidi="ar-SA"/>
        </w:rPr>
      </w:pPr>
    </w:p>
    <w:p>
      <w:pPr>
        <w:pStyle w:val="10"/>
        <w:rPr>
          <w:rFonts w:hint="eastAsia" w:ascii="仿宋" w:hAnsi="仿宋" w:eastAsia="仿宋" w:cs="仿宋"/>
          <w:b/>
          <w:bCs/>
          <w:color w:val="auto"/>
          <w:kern w:val="2"/>
          <w:sz w:val="32"/>
          <w:szCs w:val="32"/>
          <w:highlight w:val="none"/>
          <w:lang w:val="en-US" w:eastAsia="zh-CN" w:bidi="ar-SA"/>
        </w:rPr>
      </w:pPr>
    </w:p>
    <w:p>
      <w:pPr>
        <w:rPr>
          <w:rFonts w:hint="eastAsia"/>
          <w:color w:val="auto"/>
          <w:highlight w:val="none"/>
        </w:rPr>
      </w:pPr>
    </w:p>
    <w:p>
      <w:pPr>
        <w:pStyle w:val="5"/>
        <w:spacing w:before="156" w:beforeLines="50" w:after="156" w:afterLines="50"/>
        <w:ind w:firstLine="0" w:firstLineChars="0"/>
        <w:jc w:val="center"/>
        <w:rPr>
          <w:color w:val="auto"/>
          <w:sz w:val="44"/>
          <w:szCs w:val="44"/>
          <w:highlight w:val="none"/>
        </w:rPr>
      </w:pPr>
      <w:r>
        <w:rPr>
          <w:rFonts w:hint="eastAsia" w:ascii="仿宋" w:hAnsi="仿宋" w:eastAsia="仿宋" w:cs="Arial"/>
          <w:color w:val="auto"/>
          <w:kern w:val="44"/>
          <w:sz w:val="44"/>
          <w:szCs w:val="44"/>
          <w:highlight w:val="none"/>
        </w:rPr>
        <w:t>七</w:t>
      </w:r>
      <w:r>
        <w:rPr>
          <w:rFonts w:ascii="仿宋" w:hAnsi="仿宋" w:eastAsia="仿宋" w:cs="Arial"/>
          <w:color w:val="auto"/>
          <w:kern w:val="44"/>
          <w:sz w:val="44"/>
          <w:szCs w:val="44"/>
          <w:highlight w:val="none"/>
        </w:rPr>
        <w:t>、</w:t>
      </w:r>
      <w:r>
        <w:rPr>
          <w:rFonts w:hint="eastAsia" w:ascii="仿宋" w:hAnsi="仿宋" w:eastAsia="仿宋" w:cs="Arial"/>
          <w:color w:val="auto"/>
          <w:kern w:val="44"/>
          <w:sz w:val="44"/>
          <w:szCs w:val="44"/>
          <w:highlight w:val="none"/>
        </w:rPr>
        <w:t>审计</w:t>
      </w:r>
      <w:r>
        <w:rPr>
          <w:rFonts w:ascii="仿宋" w:hAnsi="仿宋" w:eastAsia="仿宋" w:cs="Arial"/>
          <w:color w:val="auto"/>
          <w:kern w:val="44"/>
          <w:sz w:val="44"/>
          <w:szCs w:val="44"/>
          <w:highlight w:val="none"/>
        </w:rPr>
        <w:t>服务方案</w:t>
      </w:r>
      <w:bookmarkEnd w:id="24"/>
      <w:bookmarkEnd w:id="25"/>
      <w:bookmarkEnd w:id="26"/>
      <w:bookmarkEnd w:id="27"/>
    </w:p>
    <w:p>
      <w:pPr>
        <w:pStyle w:val="10"/>
        <w:rPr>
          <w:rFonts w:eastAsia="仿宋"/>
          <w:color w:val="auto"/>
          <w:sz w:val="44"/>
          <w:szCs w:val="44"/>
          <w:highlight w:val="none"/>
        </w:rPr>
      </w:pPr>
    </w:p>
    <w:p>
      <w:pPr>
        <w:pStyle w:val="10"/>
        <w:rPr>
          <w:rFonts w:eastAsia="仿宋"/>
          <w:color w:val="auto"/>
          <w:sz w:val="44"/>
          <w:szCs w:val="44"/>
          <w:highlight w:val="none"/>
        </w:rPr>
      </w:pPr>
    </w:p>
    <w:p>
      <w:pPr>
        <w:pStyle w:val="5"/>
        <w:keepNext/>
        <w:keepLines w:val="0"/>
        <w:pageBreakBefore/>
        <w:widowControl w:val="0"/>
        <w:kinsoku/>
        <w:wordWrap/>
        <w:overflowPunct/>
        <w:topLinePunct w:val="0"/>
        <w:autoSpaceDE/>
        <w:autoSpaceDN/>
        <w:bidi w:val="0"/>
        <w:adjustRightInd/>
        <w:snapToGrid/>
        <w:spacing w:before="156" w:beforeLines="50" w:after="156" w:afterLines="50"/>
        <w:ind w:firstLine="0" w:firstLineChars="0"/>
        <w:jc w:val="center"/>
        <w:textAlignment w:val="auto"/>
        <w:rPr>
          <w:rFonts w:ascii="仿宋" w:hAnsi="仿宋" w:eastAsia="仿宋" w:cs="Arial"/>
          <w:color w:val="auto"/>
          <w:kern w:val="44"/>
          <w:sz w:val="44"/>
          <w:szCs w:val="44"/>
          <w:highlight w:val="none"/>
        </w:rPr>
      </w:pPr>
      <w:r>
        <w:rPr>
          <w:rFonts w:hint="eastAsia" w:ascii="仿宋" w:hAnsi="仿宋" w:eastAsia="仿宋" w:cs="Arial"/>
          <w:color w:val="auto"/>
          <w:kern w:val="44"/>
          <w:sz w:val="44"/>
          <w:szCs w:val="44"/>
          <w:highlight w:val="none"/>
        </w:rPr>
        <w:t>八、其他资料</w:t>
      </w:r>
    </w:p>
    <w:p>
      <w:pPr>
        <w:rPr>
          <w:color w:val="auto"/>
          <w:sz w:val="44"/>
          <w:szCs w:val="44"/>
          <w:highlight w:val="none"/>
        </w:rPr>
      </w:pPr>
      <w:r>
        <w:rPr>
          <w:rFonts w:hint="eastAsia" w:ascii="仿宋" w:hAnsi="仿宋" w:eastAsia="仿宋" w:cs="仿宋"/>
          <w:b/>
          <w:bCs/>
          <w:color w:val="auto"/>
          <w:kern w:val="2"/>
          <w:sz w:val="32"/>
          <w:szCs w:val="32"/>
          <w:highlight w:val="none"/>
          <w:lang w:val="en-US" w:eastAsia="zh-CN" w:bidi="ar-SA"/>
        </w:rPr>
        <w:t>注：比选申请人认为需要提供的其他材料（如有）</w:t>
      </w:r>
    </w:p>
    <w:p>
      <w:pPr>
        <w:rPr>
          <w:rFonts w:ascii="宋体" w:hAnsi="宋体" w:eastAsia="宋体" w:cs="宋体"/>
          <w:b/>
          <w:color w:val="auto"/>
          <w:kern w:val="0"/>
          <w:sz w:val="44"/>
          <w:szCs w:val="44"/>
          <w:highlight w:val="none"/>
        </w:rPr>
      </w:pPr>
    </w:p>
    <w:sectPr>
      <w:headerReference r:id="rId4" w:type="first"/>
      <w:footerReference r:id="rId5" w:type="default"/>
      <w:headerReference r:id="rId3" w:type="even"/>
      <w:footerReference r:id="rId6" w:type="even"/>
      <w:pgSz w:w="11906" w:h="16838"/>
      <w:pgMar w:top="1440" w:right="170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mp;quo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4"/>
      </w:rPr>
    </w:pPr>
    <w:r>
      <w:fldChar w:fldCharType="begin"/>
    </w:r>
    <w:r>
      <w:rPr>
        <w:rStyle w:val="24"/>
      </w:rPr>
      <w:instrText xml:space="preserve">PAGE  </w:instrText>
    </w:r>
    <w: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WordPictureWatermark2" o:spid="_x0000_s3074" o:spt="75" type="#_x0000_t75" style="position:absolute;left:0pt;height:509.55pt;width:481.8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公司Logo11"/>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PictureWatermark1" o:spid="_x0000_s3073" o:spt="75" type="#_x0000_t75" style="position:absolute;left:0pt;height:509.55pt;width:481.8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公司Logo1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81161"/>
    <w:multiLevelType w:val="singleLevel"/>
    <w:tmpl w:val="C3581161"/>
    <w:lvl w:ilvl="0" w:tentative="0">
      <w:start w:val="1"/>
      <w:numFmt w:val="chineseCounting"/>
      <w:suff w:val="space"/>
      <w:lvlText w:val="第%1部分"/>
      <w:lvlJc w:val="left"/>
      <w:rPr>
        <w:rFonts w:hint="eastAsia"/>
      </w:rPr>
    </w:lvl>
  </w:abstractNum>
  <w:abstractNum w:abstractNumId="1">
    <w:nsid w:val="E7CB32BC"/>
    <w:multiLevelType w:val="singleLevel"/>
    <w:tmpl w:val="E7CB32B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YjBlN2MyN2MzOGI2NDFiMGE4Zjg0NDdmZmZjNjgifQ=="/>
  </w:docVars>
  <w:rsids>
    <w:rsidRoot w:val="00CF2A43"/>
    <w:rsid w:val="00010B6D"/>
    <w:rsid w:val="00010B82"/>
    <w:rsid w:val="00011DA6"/>
    <w:rsid w:val="00020DA8"/>
    <w:rsid w:val="00033669"/>
    <w:rsid w:val="000415D5"/>
    <w:rsid w:val="0005086E"/>
    <w:rsid w:val="00082BC8"/>
    <w:rsid w:val="00084739"/>
    <w:rsid w:val="000C52B6"/>
    <w:rsid w:val="000E023B"/>
    <w:rsid w:val="001058F0"/>
    <w:rsid w:val="00125793"/>
    <w:rsid w:val="0012799B"/>
    <w:rsid w:val="001708E9"/>
    <w:rsid w:val="001808F8"/>
    <w:rsid w:val="00180BF8"/>
    <w:rsid w:val="00183760"/>
    <w:rsid w:val="00186119"/>
    <w:rsid w:val="0019078C"/>
    <w:rsid w:val="00194AEC"/>
    <w:rsid w:val="001A5BAC"/>
    <w:rsid w:val="001B0588"/>
    <w:rsid w:val="001E4CD6"/>
    <w:rsid w:val="001F0A40"/>
    <w:rsid w:val="001F6575"/>
    <w:rsid w:val="001F69E3"/>
    <w:rsid w:val="00210BFE"/>
    <w:rsid w:val="00212BB9"/>
    <w:rsid w:val="002164F0"/>
    <w:rsid w:val="0022775F"/>
    <w:rsid w:val="002340D7"/>
    <w:rsid w:val="0026183A"/>
    <w:rsid w:val="002679D8"/>
    <w:rsid w:val="002758D4"/>
    <w:rsid w:val="002A22FC"/>
    <w:rsid w:val="002A6C84"/>
    <w:rsid w:val="002D584A"/>
    <w:rsid w:val="002E60B1"/>
    <w:rsid w:val="002F6042"/>
    <w:rsid w:val="0032147A"/>
    <w:rsid w:val="00355A1C"/>
    <w:rsid w:val="003A7C26"/>
    <w:rsid w:val="003B59B3"/>
    <w:rsid w:val="003C5756"/>
    <w:rsid w:val="003D0447"/>
    <w:rsid w:val="003D4760"/>
    <w:rsid w:val="00405C18"/>
    <w:rsid w:val="00447746"/>
    <w:rsid w:val="00463A04"/>
    <w:rsid w:val="00464188"/>
    <w:rsid w:val="00466B95"/>
    <w:rsid w:val="00485613"/>
    <w:rsid w:val="004A7092"/>
    <w:rsid w:val="004B1AE4"/>
    <w:rsid w:val="004C339E"/>
    <w:rsid w:val="004C4593"/>
    <w:rsid w:val="004E33C5"/>
    <w:rsid w:val="00510A7B"/>
    <w:rsid w:val="0051654D"/>
    <w:rsid w:val="005166BE"/>
    <w:rsid w:val="00535594"/>
    <w:rsid w:val="00580353"/>
    <w:rsid w:val="005D446E"/>
    <w:rsid w:val="005E30E1"/>
    <w:rsid w:val="00602DCC"/>
    <w:rsid w:val="00612EEF"/>
    <w:rsid w:val="00621ED8"/>
    <w:rsid w:val="00625EEF"/>
    <w:rsid w:val="00630A17"/>
    <w:rsid w:val="00636ECA"/>
    <w:rsid w:val="00655D33"/>
    <w:rsid w:val="006742E7"/>
    <w:rsid w:val="00691FA3"/>
    <w:rsid w:val="00696B89"/>
    <w:rsid w:val="006A7BE1"/>
    <w:rsid w:val="006B3346"/>
    <w:rsid w:val="006E261F"/>
    <w:rsid w:val="006F7184"/>
    <w:rsid w:val="006F7BA6"/>
    <w:rsid w:val="00721819"/>
    <w:rsid w:val="0076758A"/>
    <w:rsid w:val="007B2D51"/>
    <w:rsid w:val="007B2FF5"/>
    <w:rsid w:val="007B344B"/>
    <w:rsid w:val="007B48BF"/>
    <w:rsid w:val="007F5031"/>
    <w:rsid w:val="00821A39"/>
    <w:rsid w:val="00856D88"/>
    <w:rsid w:val="008752F4"/>
    <w:rsid w:val="00882DBC"/>
    <w:rsid w:val="008964E3"/>
    <w:rsid w:val="008A28A7"/>
    <w:rsid w:val="008D6E80"/>
    <w:rsid w:val="008E2337"/>
    <w:rsid w:val="008E5FD5"/>
    <w:rsid w:val="008E7BF4"/>
    <w:rsid w:val="008F1440"/>
    <w:rsid w:val="00917838"/>
    <w:rsid w:val="00920255"/>
    <w:rsid w:val="00934E31"/>
    <w:rsid w:val="0094068C"/>
    <w:rsid w:val="00980768"/>
    <w:rsid w:val="00994703"/>
    <w:rsid w:val="009C3859"/>
    <w:rsid w:val="009D2794"/>
    <w:rsid w:val="009E15A4"/>
    <w:rsid w:val="00A25BB8"/>
    <w:rsid w:val="00A51B7E"/>
    <w:rsid w:val="00A61148"/>
    <w:rsid w:val="00AC4374"/>
    <w:rsid w:val="00AE2A26"/>
    <w:rsid w:val="00AE3FAF"/>
    <w:rsid w:val="00AF789C"/>
    <w:rsid w:val="00B0312A"/>
    <w:rsid w:val="00B05CF4"/>
    <w:rsid w:val="00B238C9"/>
    <w:rsid w:val="00B716F4"/>
    <w:rsid w:val="00B72236"/>
    <w:rsid w:val="00B94130"/>
    <w:rsid w:val="00BA5E6E"/>
    <w:rsid w:val="00BC1C52"/>
    <w:rsid w:val="00BD0CA5"/>
    <w:rsid w:val="00C0454B"/>
    <w:rsid w:val="00C31E23"/>
    <w:rsid w:val="00C3469B"/>
    <w:rsid w:val="00C46643"/>
    <w:rsid w:val="00C47C0F"/>
    <w:rsid w:val="00C53972"/>
    <w:rsid w:val="00C62179"/>
    <w:rsid w:val="00C83F4D"/>
    <w:rsid w:val="00CA1E66"/>
    <w:rsid w:val="00CA74A2"/>
    <w:rsid w:val="00CB5B8A"/>
    <w:rsid w:val="00CC1468"/>
    <w:rsid w:val="00CD05C1"/>
    <w:rsid w:val="00CD1F8A"/>
    <w:rsid w:val="00CD422C"/>
    <w:rsid w:val="00CE1345"/>
    <w:rsid w:val="00CF29C9"/>
    <w:rsid w:val="00CF2A43"/>
    <w:rsid w:val="00D07807"/>
    <w:rsid w:val="00D07CDD"/>
    <w:rsid w:val="00D14144"/>
    <w:rsid w:val="00D14C7E"/>
    <w:rsid w:val="00D2477F"/>
    <w:rsid w:val="00D30180"/>
    <w:rsid w:val="00D4235D"/>
    <w:rsid w:val="00D45522"/>
    <w:rsid w:val="00D46300"/>
    <w:rsid w:val="00D84F5C"/>
    <w:rsid w:val="00D9702A"/>
    <w:rsid w:val="00DA13DB"/>
    <w:rsid w:val="00DB224F"/>
    <w:rsid w:val="00DB6F32"/>
    <w:rsid w:val="00DE3283"/>
    <w:rsid w:val="00DE4F9A"/>
    <w:rsid w:val="00DF3C30"/>
    <w:rsid w:val="00E10EF1"/>
    <w:rsid w:val="00E22F2A"/>
    <w:rsid w:val="00E36596"/>
    <w:rsid w:val="00E6009C"/>
    <w:rsid w:val="00EB02F0"/>
    <w:rsid w:val="00EB07F0"/>
    <w:rsid w:val="00EF401B"/>
    <w:rsid w:val="00F04557"/>
    <w:rsid w:val="00F550F6"/>
    <w:rsid w:val="00F61050"/>
    <w:rsid w:val="00F65AC4"/>
    <w:rsid w:val="00F75B37"/>
    <w:rsid w:val="00F877C3"/>
    <w:rsid w:val="00FB526C"/>
    <w:rsid w:val="00FE26F6"/>
    <w:rsid w:val="00FF0576"/>
    <w:rsid w:val="015C19DC"/>
    <w:rsid w:val="02EF6002"/>
    <w:rsid w:val="03A61241"/>
    <w:rsid w:val="04483EFC"/>
    <w:rsid w:val="04596721"/>
    <w:rsid w:val="04685831"/>
    <w:rsid w:val="0488282E"/>
    <w:rsid w:val="04B55838"/>
    <w:rsid w:val="05503CD1"/>
    <w:rsid w:val="062178E4"/>
    <w:rsid w:val="066020D0"/>
    <w:rsid w:val="06AC7794"/>
    <w:rsid w:val="06BD34C4"/>
    <w:rsid w:val="06FC63F5"/>
    <w:rsid w:val="07CE3B9D"/>
    <w:rsid w:val="07D86E72"/>
    <w:rsid w:val="0813254D"/>
    <w:rsid w:val="086E23DF"/>
    <w:rsid w:val="08BC2092"/>
    <w:rsid w:val="0921397F"/>
    <w:rsid w:val="099810F4"/>
    <w:rsid w:val="09E35374"/>
    <w:rsid w:val="09F4496F"/>
    <w:rsid w:val="0A125E3E"/>
    <w:rsid w:val="0A42346F"/>
    <w:rsid w:val="0A56291D"/>
    <w:rsid w:val="0B100DCB"/>
    <w:rsid w:val="0B914215"/>
    <w:rsid w:val="0BAA5D1C"/>
    <w:rsid w:val="0BCD3B31"/>
    <w:rsid w:val="0BDA371A"/>
    <w:rsid w:val="0BE07836"/>
    <w:rsid w:val="0C0471FD"/>
    <w:rsid w:val="0C850560"/>
    <w:rsid w:val="0C9C433D"/>
    <w:rsid w:val="0CB510C6"/>
    <w:rsid w:val="0CBF4A84"/>
    <w:rsid w:val="0CE37D7B"/>
    <w:rsid w:val="0CE54D68"/>
    <w:rsid w:val="0D912447"/>
    <w:rsid w:val="0E7752FB"/>
    <w:rsid w:val="0EC50131"/>
    <w:rsid w:val="0F452557"/>
    <w:rsid w:val="0FAF6FD1"/>
    <w:rsid w:val="105037D0"/>
    <w:rsid w:val="10816C3B"/>
    <w:rsid w:val="10E2211D"/>
    <w:rsid w:val="11584353"/>
    <w:rsid w:val="11EE16E5"/>
    <w:rsid w:val="127735F4"/>
    <w:rsid w:val="12CB3C8B"/>
    <w:rsid w:val="1308007A"/>
    <w:rsid w:val="13205622"/>
    <w:rsid w:val="137F2F2B"/>
    <w:rsid w:val="13EB1A10"/>
    <w:rsid w:val="14361217"/>
    <w:rsid w:val="147B6999"/>
    <w:rsid w:val="14856ADD"/>
    <w:rsid w:val="15912F02"/>
    <w:rsid w:val="15C112A2"/>
    <w:rsid w:val="15F06C49"/>
    <w:rsid w:val="15FD64DD"/>
    <w:rsid w:val="16D33A71"/>
    <w:rsid w:val="17707A50"/>
    <w:rsid w:val="17B142D8"/>
    <w:rsid w:val="18172334"/>
    <w:rsid w:val="18973C7F"/>
    <w:rsid w:val="19344C39"/>
    <w:rsid w:val="1A053AA2"/>
    <w:rsid w:val="1A5915B1"/>
    <w:rsid w:val="1AAB2B6E"/>
    <w:rsid w:val="1AE26EC4"/>
    <w:rsid w:val="1AF110E0"/>
    <w:rsid w:val="1B362A00"/>
    <w:rsid w:val="1B4D3329"/>
    <w:rsid w:val="1BC94B69"/>
    <w:rsid w:val="1C6231B5"/>
    <w:rsid w:val="1D5071D4"/>
    <w:rsid w:val="1D857CC3"/>
    <w:rsid w:val="1E857515"/>
    <w:rsid w:val="1EB203FA"/>
    <w:rsid w:val="1F121A6D"/>
    <w:rsid w:val="1F281577"/>
    <w:rsid w:val="1F355E6B"/>
    <w:rsid w:val="1FA978BF"/>
    <w:rsid w:val="200A466F"/>
    <w:rsid w:val="20584A73"/>
    <w:rsid w:val="208C52CF"/>
    <w:rsid w:val="208D08D6"/>
    <w:rsid w:val="20B04340"/>
    <w:rsid w:val="20C76F5A"/>
    <w:rsid w:val="21501D58"/>
    <w:rsid w:val="215C570D"/>
    <w:rsid w:val="21BE4386"/>
    <w:rsid w:val="22696714"/>
    <w:rsid w:val="23AB0E01"/>
    <w:rsid w:val="23C441FF"/>
    <w:rsid w:val="242133DD"/>
    <w:rsid w:val="24451FA2"/>
    <w:rsid w:val="24BA757A"/>
    <w:rsid w:val="253C1B6D"/>
    <w:rsid w:val="25654567"/>
    <w:rsid w:val="25E363B8"/>
    <w:rsid w:val="269C5AEF"/>
    <w:rsid w:val="27883A88"/>
    <w:rsid w:val="27A54C55"/>
    <w:rsid w:val="27C21748"/>
    <w:rsid w:val="27F16388"/>
    <w:rsid w:val="284127B7"/>
    <w:rsid w:val="28B37150"/>
    <w:rsid w:val="28BA7D23"/>
    <w:rsid w:val="28E37F68"/>
    <w:rsid w:val="290B5A76"/>
    <w:rsid w:val="29335418"/>
    <w:rsid w:val="298B2391"/>
    <w:rsid w:val="2A3C4EA7"/>
    <w:rsid w:val="2B084F9D"/>
    <w:rsid w:val="2CA80344"/>
    <w:rsid w:val="2CCE340C"/>
    <w:rsid w:val="2D7830DA"/>
    <w:rsid w:val="2DE3590F"/>
    <w:rsid w:val="2E466678"/>
    <w:rsid w:val="2E7A5012"/>
    <w:rsid w:val="2ED35FD3"/>
    <w:rsid w:val="2EEA2EDA"/>
    <w:rsid w:val="2FE41BE2"/>
    <w:rsid w:val="31682A09"/>
    <w:rsid w:val="318407B0"/>
    <w:rsid w:val="319B3D36"/>
    <w:rsid w:val="327D5756"/>
    <w:rsid w:val="327F2F6C"/>
    <w:rsid w:val="33FF189E"/>
    <w:rsid w:val="344F5816"/>
    <w:rsid w:val="34D24A0B"/>
    <w:rsid w:val="35176B9C"/>
    <w:rsid w:val="360F77DE"/>
    <w:rsid w:val="364B3C0B"/>
    <w:rsid w:val="371F65EF"/>
    <w:rsid w:val="377B6F56"/>
    <w:rsid w:val="37DF1F0B"/>
    <w:rsid w:val="37E35BFE"/>
    <w:rsid w:val="37FC199E"/>
    <w:rsid w:val="3829476C"/>
    <w:rsid w:val="38983FC7"/>
    <w:rsid w:val="38A44DD8"/>
    <w:rsid w:val="38CC5DF5"/>
    <w:rsid w:val="39141BBD"/>
    <w:rsid w:val="3A1B04CB"/>
    <w:rsid w:val="3AF5665A"/>
    <w:rsid w:val="3B011567"/>
    <w:rsid w:val="3B2B307E"/>
    <w:rsid w:val="3B9067B9"/>
    <w:rsid w:val="3C8D7F5B"/>
    <w:rsid w:val="3D2729CB"/>
    <w:rsid w:val="3D6E300A"/>
    <w:rsid w:val="3DF939D8"/>
    <w:rsid w:val="3E816D02"/>
    <w:rsid w:val="3EB86ABA"/>
    <w:rsid w:val="3EE5182F"/>
    <w:rsid w:val="3EFB01BE"/>
    <w:rsid w:val="3F075386"/>
    <w:rsid w:val="3F7F12C6"/>
    <w:rsid w:val="3F8E1B07"/>
    <w:rsid w:val="3F946B16"/>
    <w:rsid w:val="3F9925C5"/>
    <w:rsid w:val="408A3C7A"/>
    <w:rsid w:val="40C00E65"/>
    <w:rsid w:val="411E45CD"/>
    <w:rsid w:val="413960A7"/>
    <w:rsid w:val="41DE7D4C"/>
    <w:rsid w:val="4215370F"/>
    <w:rsid w:val="421D4C7E"/>
    <w:rsid w:val="42233290"/>
    <w:rsid w:val="42CF5AB7"/>
    <w:rsid w:val="4390165D"/>
    <w:rsid w:val="43D2697C"/>
    <w:rsid w:val="44D83F81"/>
    <w:rsid w:val="44E97AE1"/>
    <w:rsid w:val="45382B51"/>
    <w:rsid w:val="454100EB"/>
    <w:rsid w:val="4544377F"/>
    <w:rsid w:val="45775C81"/>
    <w:rsid w:val="457D23D9"/>
    <w:rsid w:val="463E1F82"/>
    <w:rsid w:val="46726084"/>
    <w:rsid w:val="46AD750B"/>
    <w:rsid w:val="47572927"/>
    <w:rsid w:val="47D52110"/>
    <w:rsid w:val="4816243F"/>
    <w:rsid w:val="48425E19"/>
    <w:rsid w:val="485B58DA"/>
    <w:rsid w:val="48604068"/>
    <w:rsid w:val="49863AD7"/>
    <w:rsid w:val="49BF3909"/>
    <w:rsid w:val="49DB245C"/>
    <w:rsid w:val="4A5B0D74"/>
    <w:rsid w:val="4A63021C"/>
    <w:rsid w:val="4B864733"/>
    <w:rsid w:val="4B8E45B0"/>
    <w:rsid w:val="4BD86539"/>
    <w:rsid w:val="4BE01EE2"/>
    <w:rsid w:val="4C4E2BE2"/>
    <w:rsid w:val="4D1E255C"/>
    <w:rsid w:val="4D314CC6"/>
    <w:rsid w:val="4DA06288"/>
    <w:rsid w:val="4DB73816"/>
    <w:rsid w:val="4DD41C94"/>
    <w:rsid w:val="4E172DD4"/>
    <w:rsid w:val="4F3F780D"/>
    <w:rsid w:val="4FBD62B0"/>
    <w:rsid w:val="4FFC11AD"/>
    <w:rsid w:val="506E2F6C"/>
    <w:rsid w:val="50C96C71"/>
    <w:rsid w:val="51CD10E1"/>
    <w:rsid w:val="52EE1F03"/>
    <w:rsid w:val="53385CFB"/>
    <w:rsid w:val="537A3EE4"/>
    <w:rsid w:val="53A565EF"/>
    <w:rsid w:val="53CB58E2"/>
    <w:rsid w:val="54ED66BE"/>
    <w:rsid w:val="55880987"/>
    <w:rsid w:val="56025D08"/>
    <w:rsid w:val="5679651A"/>
    <w:rsid w:val="569E0440"/>
    <w:rsid w:val="56DF75DE"/>
    <w:rsid w:val="570F4706"/>
    <w:rsid w:val="572D4211"/>
    <w:rsid w:val="57B1759A"/>
    <w:rsid w:val="57BC352C"/>
    <w:rsid w:val="57D0307F"/>
    <w:rsid w:val="5830770B"/>
    <w:rsid w:val="58D951B8"/>
    <w:rsid w:val="5902504F"/>
    <w:rsid w:val="5ADC504C"/>
    <w:rsid w:val="5B263F92"/>
    <w:rsid w:val="5B710D9B"/>
    <w:rsid w:val="5C5505C1"/>
    <w:rsid w:val="5D052539"/>
    <w:rsid w:val="5D91139C"/>
    <w:rsid w:val="5E874EE0"/>
    <w:rsid w:val="5EA027E1"/>
    <w:rsid w:val="5F0D41E1"/>
    <w:rsid w:val="5F4275CA"/>
    <w:rsid w:val="5F441EDA"/>
    <w:rsid w:val="5F815D97"/>
    <w:rsid w:val="602232F7"/>
    <w:rsid w:val="60777875"/>
    <w:rsid w:val="60E5057A"/>
    <w:rsid w:val="61213952"/>
    <w:rsid w:val="615A3357"/>
    <w:rsid w:val="61F40CE6"/>
    <w:rsid w:val="63AA3B54"/>
    <w:rsid w:val="6413755B"/>
    <w:rsid w:val="647B2386"/>
    <w:rsid w:val="64F0221A"/>
    <w:rsid w:val="655A03BD"/>
    <w:rsid w:val="65953505"/>
    <w:rsid w:val="665A4F6B"/>
    <w:rsid w:val="66C34CF0"/>
    <w:rsid w:val="680C0C74"/>
    <w:rsid w:val="68C20409"/>
    <w:rsid w:val="68DF2EF0"/>
    <w:rsid w:val="69B622FC"/>
    <w:rsid w:val="6A724045"/>
    <w:rsid w:val="6A9C643E"/>
    <w:rsid w:val="6ADE33A4"/>
    <w:rsid w:val="6C334151"/>
    <w:rsid w:val="6C861786"/>
    <w:rsid w:val="6E4F2E20"/>
    <w:rsid w:val="6E846F70"/>
    <w:rsid w:val="6EA0466E"/>
    <w:rsid w:val="702D4ED7"/>
    <w:rsid w:val="71D82602"/>
    <w:rsid w:val="722331C9"/>
    <w:rsid w:val="72283917"/>
    <w:rsid w:val="72B047FC"/>
    <w:rsid w:val="73B115AB"/>
    <w:rsid w:val="74316A65"/>
    <w:rsid w:val="7481378B"/>
    <w:rsid w:val="75404BE2"/>
    <w:rsid w:val="7618266F"/>
    <w:rsid w:val="76231102"/>
    <w:rsid w:val="763E4875"/>
    <w:rsid w:val="764F2B67"/>
    <w:rsid w:val="76511CFF"/>
    <w:rsid w:val="777B65CD"/>
    <w:rsid w:val="78BF5A06"/>
    <w:rsid w:val="797C7F52"/>
    <w:rsid w:val="7ACF3FC3"/>
    <w:rsid w:val="7B7225F8"/>
    <w:rsid w:val="7BE62B63"/>
    <w:rsid w:val="7C625593"/>
    <w:rsid w:val="7C840A00"/>
    <w:rsid w:val="7CFE3210"/>
    <w:rsid w:val="7DFE7598"/>
    <w:rsid w:val="7F002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5"/>
    <w:qFormat/>
    <w:uiPriority w:val="0"/>
    <w:pPr>
      <w:keepNext/>
      <w:ind w:firstLine="241" w:firstLineChars="100"/>
      <w:outlineLvl w:val="1"/>
    </w:pPr>
    <w:rPr>
      <w:rFonts w:ascii="宋体" w:hAnsi="宋体" w:eastAsia="宋体" w:cs="Times New Roman"/>
      <w:b/>
      <w:bCs/>
      <w:sz w:val="24"/>
      <w:szCs w:val="20"/>
    </w:rPr>
  </w:style>
  <w:style w:type="paragraph" w:styleId="6">
    <w:name w:val="heading 3"/>
    <w:basedOn w:val="1"/>
    <w:next w:val="1"/>
    <w:link w:val="42"/>
    <w:qFormat/>
    <w:uiPriority w:val="0"/>
    <w:pPr>
      <w:keepNext/>
      <w:keepLines/>
      <w:spacing w:before="260" w:after="260" w:line="416" w:lineRule="auto"/>
      <w:outlineLvl w:val="2"/>
    </w:pPr>
    <w:rPr>
      <w:rFonts w:ascii="宋体" w:hAnsi="宋体" w:eastAsia="宋体" w:cs="Times New Roman"/>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 w:val="24"/>
    </w:rPr>
  </w:style>
  <w:style w:type="paragraph" w:styleId="3">
    <w:name w:val="Body Text Indent"/>
    <w:basedOn w:val="1"/>
    <w:link w:val="36"/>
    <w:qFormat/>
    <w:uiPriority w:val="0"/>
    <w:pPr>
      <w:adjustRightInd w:val="0"/>
      <w:spacing w:line="380" w:lineRule="exact"/>
      <w:ind w:firstLine="480"/>
      <w:textAlignment w:val="baseline"/>
    </w:pPr>
    <w:rPr>
      <w:rFonts w:ascii="宋体" w:hAnsi="宋体" w:eastAsia="宋体" w:cs="Times New Roman"/>
      <w:kern w:val="0"/>
      <w:szCs w:val="20"/>
    </w:rPr>
  </w:style>
  <w:style w:type="paragraph" w:styleId="7">
    <w:name w:val="table of authorities"/>
    <w:basedOn w:val="1"/>
    <w:next w:val="1"/>
    <w:qFormat/>
    <w:uiPriority w:val="0"/>
    <w:pPr>
      <w:spacing w:before="100" w:beforeAutospacing="1" w:after="100" w:afterAutospacing="1"/>
      <w:ind w:left="420" w:leftChars="200"/>
    </w:pPr>
    <w:rPr>
      <w:rFonts w:cs="Times New Roman"/>
      <w:szCs w:val="21"/>
    </w:rPr>
  </w:style>
  <w:style w:type="paragraph" w:styleId="8">
    <w:name w:val="Normal Indent"/>
    <w:basedOn w:val="1"/>
    <w:unhideWhenUsed/>
    <w:qFormat/>
    <w:uiPriority w:val="99"/>
    <w:pPr>
      <w:ind w:firstLine="420"/>
    </w:pPr>
  </w:style>
  <w:style w:type="paragraph" w:styleId="9">
    <w:name w:val="annotation text"/>
    <w:basedOn w:val="1"/>
    <w:link w:val="33"/>
    <w:semiHidden/>
    <w:unhideWhenUsed/>
    <w:qFormat/>
    <w:uiPriority w:val="99"/>
    <w:pPr>
      <w:jc w:val="left"/>
    </w:pPr>
  </w:style>
  <w:style w:type="paragraph" w:styleId="10">
    <w:name w:val="Body Text"/>
    <w:basedOn w:val="1"/>
    <w:next w:val="1"/>
    <w:qFormat/>
    <w:uiPriority w:val="0"/>
    <w:pPr>
      <w:spacing w:after="120"/>
    </w:pPr>
    <w:rPr>
      <w:rFonts w:eastAsia="Times New Roman"/>
    </w:rPr>
  </w:style>
  <w:style w:type="paragraph" w:styleId="11">
    <w:name w:val="Plain Text"/>
    <w:basedOn w:val="1"/>
    <w:link w:val="38"/>
    <w:qFormat/>
    <w:uiPriority w:val="0"/>
    <w:rPr>
      <w:rFonts w:ascii="宋体" w:hAnsi="Courier New" w:eastAsia="宋体" w:cs="Courier New"/>
      <w:szCs w:val="21"/>
    </w:rPr>
  </w:style>
  <w:style w:type="paragraph" w:styleId="12">
    <w:name w:val="Date"/>
    <w:basedOn w:val="1"/>
    <w:next w:val="1"/>
    <w:link w:val="28"/>
    <w:semiHidden/>
    <w:unhideWhenUsed/>
    <w:qFormat/>
    <w:uiPriority w:val="99"/>
    <w:pPr>
      <w:ind w:left="100" w:leftChars="2500"/>
    </w:pPr>
  </w:style>
  <w:style w:type="paragraph" w:styleId="13">
    <w:name w:val="Body Text Indent 2"/>
    <w:basedOn w:val="1"/>
    <w:link w:val="37"/>
    <w:unhideWhenUsed/>
    <w:qFormat/>
    <w:uiPriority w:val="99"/>
    <w:pPr>
      <w:spacing w:after="120" w:line="480" w:lineRule="auto"/>
      <w:ind w:left="420" w:leftChars="200"/>
    </w:pPr>
  </w:style>
  <w:style w:type="paragraph" w:styleId="14">
    <w:name w:val="Balloon Text"/>
    <w:basedOn w:val="1"/>
    <w:link w:val="41"/>
    <w:semiHidden/>
    <w:unhideWhenUsed/>
    <w:qFormat/>
    <w:uiPriority w:val="99"/>
    <w:rPr>
      <w:sz w:val="18"/>
      <w:szCs w:val="18"/>
    </w:rPr>
  </w:style>
  <w:style w:type="paragraph" w:styleId="15">
    <w:name w:val="footer"/>
    <w:basedOn w:val="1"/>
    <w:link w:val="30"/>
    <w:unhideWhenUsed/>
    <w:qFormat/>
    <w:uiPriority w:val="99"/>
    <w:pPr>
      <w:tabs>
        <w:tab w:val="center" w:pos="4153"/>
        <w:tab w:val="right" w:pos="8306"/>
      </w:tabs>
      <w:snapToGrid w:val="0"/>
      <w:jc w:val="left"/>
    </w:pPr>
    <w:rPr>
      <w:sz w:val="18"/>
      <w:szCs w:val="18"/>
    </w:rPr>
  </w:style>
  <w:style w:type="paragraph" w:styleId="16">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rPr>
      <w:rFonts w:ascii="宋体" w:hAnsi="宋体" w:eastAsia="宋体" w:cs="Times New Roman"/>
      <w:sz w:val="28"/>
      <w:szCs w:val="24"/>
    </w:rPr>
  </w:style>
  <w:style w:type="paragraph" w:styleId="18">
    <w:name w:val="Body Text Indent 3"/>
    <w:basedOn w:val="1"/>
    <w:link w:val="40"/>
    <w:semiHidden/>
    <w:unhideWhenUsed/>
    <w:qFormat/>
    <w:uiPriority w:val="99"/>
    <w:pPr>
      <w:spacing w:after="120"/>
      <w:ind w:left="420" w:leftChars="200"/>
    </w:pPr>
    <w:rPr>
      <w:sz w:val="16"/>
      <w:szCs w:val="16"/>
    </w:rPr>
  </w:style>
  <w:style w:type="paragraph" w:styleId="1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annotation subject"/>
    <w:basedOn w:val="9"/>
    <w:next w:val="9"/>
    <w:link w:val="34"/>
    <w:semiHidden/>
    <w:unhideWhenUsed/>
    <w:qFormat/>
    <w:uiPriority w:val="99"/>
    <w:rPr>
      <w:b/>
      <w:bCs/>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FollowedHyperlink"/>
    <w:basedOn w:val="23"/>
    <w:semiHidden/>
    <w:unhideWhenUsed/>
    <w:qFormat/>
    <w:uiPriority w:val="99"/>
    <w:rPr>
      <w:color w:val="954F72" w:themeColor="followedHyperlink"/>
      <w:u w:val="single"/>
      <w14:textFill>
        <w14:solidFill>
          <w14:schemeClr w14:val="folHlink"/>
        </w14:solidFill>
      </w14:textFill>
    </w:rPr>
  </w:style>
  <w:style w:type="character" w:styleId="26">
    <w:name w:val="Hyperlink"/>
    <w:qFormat/>
    <w:uiPriority w:val="0"/>
    <w:rPr>
      <w:color w:val="0000FF"/>
      <w:u w:val="single"/>
    </w:rPr>
  </w:style>
  <w:style w:type="character" w:styleId="27">
    <w:name w:val="annotation reference"/>
    <w:basedOn w:val="23"/>
    <w:semiHidden/>
    <w:unhideWhenUsed/>
    <w:qFormat/>
    <w:uiPriority w:val="99"/>
    <w:rPr>
      <w:sz w:val="21"/>
      <w:szCs w:val="21"/>
    </w:rPr>
  </w:style>
  <w:style w:type="character" w:customStyle="1" w:styleId="28">
    <w:name w:val="日期 Char"/>
    <w:basedOn w:val="23"/>
    <w:link w:val="12"/>
    <w:semiHidden/>
    <w:qFormat/>
    <w:uiPriority w:val="99"/>
  </w:style>
  <w:style w:type="character" w:customStyle="1" w:styleId="29">
    <w:name w:val="页眉 Char"/>
    <w:basedOn w:val="23"/>
    <w:link w:val="16"/>
    <w:qFormat/>
    <w:uiPriority w:val="99"/>
    <w:rPr>
      <w:sz w:val="18"/>
      <w:szCs w:val="18"/>
    </w:rPr>
  </w:style>
  <w:style w:type="character" w:customStyle="1" w:styleId="30">
    <w:name w:val="页脚 Char"/>
    <w:basedOn w:val="23"/>
    <w:link w:val="15"/>
    <w:qFormat/>
    <w:uiPriority w:val="99"/>
    <w:rPr>
      <w:sz w:val="18"/>
      <w:szCs w:val="18"/>
    </w:rPr>
  </w:style>
  <w:style w:type="paragraph" w:customStyle="1" w:styleId="31">
    <w:name w:val="默认段落字体 Para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2">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3">
    <w:name w:val="批注文字 Char"/>
    <w:basedOn w:val="23"/>
    <w:link w:val="9"/>
    <w:semiHidden/>
    <w:qFormat/>
    <w:uiPriority w:val="99"/>
  </w:style>
  <w:style w:type="character" w:customStyle="1" w:styleId="34">
    <w:name w:val="批注主题 Char"/>
    <w:basedOn w:val="33"/>
    <w:link w:val="20"/>
    <w:semiHidden/>
    <w:qFormat/>
    <w:uiPriority w:val="99"/>
    <w:rPr>
      <w:b/>
      <w:bCs/>
    </w:rPr>
  </w:style>
  <w:style w:type="character" w:customStyle="1" w:styleId="35">
    <w:name w:val="标题 2 Char"/>
    <w:basedOn w:val="23"/>
    <w:link w:val="5"/>
    <w:qFormat/>
    <w:uiPriority w:val="0"/>
    <w:rPr>
      <w:rFonts w:ascii="宋体" w:hAnsi="宋体" w:eastAsia="宋体" w:cs="Times New Roman"/>
      <w:b/>
      <w:bCs/>
      <w:sz w:val="24"/>
      <w:szCs w:val="20"/>
    </w:rPr>
  </w:style>
  <w:style w:type="character" w:customStyle="1" w:styleId="36">
    <w:name w:val="正文文本缩进 Char"/>
    <w:basedOn w:val="23"/>
    <w:link w:val="3"/>
    <w:qFormat/>
    <w:uiPriority w:val="0"/>
    <w:rPr>
      <w:rFonts w:ascii="宋体" w:hAnsi="宋体" w:eastAsia="宋体" w:cs="Times New Roman"/>
      <w:kern w:val="0"/>
      <w:szCs w:val="20"/>
    </w:rPr>
  </w:style>
  <w:style w:type="character" w:customStyle="1" w:styleId="37">
    <w:name w:val="正文文本缩进 2 Char"/>
    <w:basedOn w:val="23"/>
    <w:link w:val="13"/>
    <w:qFormat/>
    <w:uiPriority w:val="99"/>
  </w:style>
  <w:style w:type="character" w:customStyle="1" w:styleId="38">
    <w:name w:val="纯文本 Char"/>
    <w:link w:val="11"/>
    <w:qFormat/>
    <w:uiPriority w:val="0"/>
    <w:rPr>
      <w:rFonts w:ascii="宋体" w:hAnsi="Courier New" w:eastAsia="宋体" w:cs="Courier New"/>
      <w:szCs w:val="21"/>
    </w:rPr>
  </w:style>
  <w:style w:type="character" w:customStyle="1" w:styleId="39">
    <w:name w:val="纯文本 字符1"/>
    <w:basedOn w:val="23"/>
    <w:semiHidden/>
    <w:qFormat/>
    <w:uiPriority w:val="99"/>
    <w:rPr>
      <w:rFonts w:hAnsi="Courier New" w:cs="Courier New" w:asciiTheme="minorEastAsia"/>
    </w:rPr>
  </w:style>
  <w:style w:type="character" w:customStyle="1" w:styleId="40">
    <w:name w:val="正文文本缩进 3 Char"/>
    <w:basedOn w:val="23"/>
    <w:link w:val="18"/>
    <w:semiHidden/>
    <w:qFormat/>
    <w:uiPriority w:val="99"/>
    <w:rPr>
      <w:sz w:val="16"/>
      <w:szCs w:val="16"/>
    </w:rPr>
  </w:style>
  <w:style w:type="character" w:customStyle="1" w:styleId="41">
    <w:name w:val="批注框文本 Char"/>
    <w:basedOn w:val="23"/>
    <w:link w:val="14"/>
    <w:semiHidden/>
    <w:qFormat/>
    <w:uiPriority w:val="99"/>
    <w:rPr>
      <w:rFonts w:asciiTheme="minorHAnsi" w:hAnsiTheme="minorHAnsi" w:eastAsiaTheme="minorEastAsia" w:cstheme="minorBidi"/>
      <w:kern w:val="2"/>
      <w:sz w:val="18"/>
      <w:szCs w:val="18"/>
    </w:rPr>
  </w:style>
  <w:style w:type="character" w:customStyle="1" w:styleId="42">
    <w:name w:val="标题 3 Char"/>
    <w:basedOn w:val="23"/>
    <w:link w:val="6"/>
    <w:qFormat/>
    <w:uiPriority w:val="0"/>
    <w:rPr>
      <w:rFonts w:ascii="宋体" w:hAnsi="宋体"/>
      <w:b/>
      <w:bCs/>
      <w:kern w:val="2"/>
      <w:sz w:val="32"/>
      <w:szCs w:val="32"/>
    </w:rPr>
  </w:style>
  <w:style w:type="paragraph" w:customStyle="1" w:styleId="43">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51439-105F-420E-AC79-464AD693E689}">
  <ds:schemaRefs/>
</ds:datastoreItem>
</file>

<file path=docProps/app.xml><?xml version="1.0" encoding="utf-8"?>
<Properties xmlns="http://schemas.openxmlformats.org/officeDocument/2006/extended-properties" xmlns:vt="http://schemas.openxmlformats.org/officeDocument/2006/docPropsVTypes">
  <Template>Normal</Template>
  <Pages>38</Pages>
  <Words>11605</Words>
  <Characters>11930</Characters>
  <Lines>17</Lines>
  <Paragraphs>28</Paragraphs>
  <TotalTime>43</TotalTime>
  <ScaleCrop>false</ScaleCrop>
  <LinksUpToDate>false</LinksUpToDate>
  <CharactersWithSpaces>12749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2021-08-12T06:47:00Z</dcterms:created>
  <dc:creator>阳</dc:creator>
  <cp:lastModifiedBy>asus</cp:lastModifiedBy>
  <cp:lastPrinted>2023-08-02T04:13:00Z</cp:lastPrinted>
  <dcterms:modified xsi:type="dcterms:W3CDTF">2023-08-04T01:59:02Z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F7A1D50B3C944FF6815ED5B151DFE642</vt:lpwstr>
  </property>
</Properties>
</file>